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0ADA6" w14:textId="77777777" w:rsidR="00166FFE" w:rsidRPr="0031221C" w:rsidRDefault="00A1733E" w:rsidP="006A78BA">
      <w:pPr>
        <w:pStyle w:val="Annexetitre"/>
        <w:rPr>
          <w:sz w:val="28"/>
          <w:szCs w:val="28"/>
          <w:u w:val="none"/>
        </w:rPr>
      </w:pPr>
      <w:r>
        <w:rPr>
          <w:sz w:val="28"/>
          <w:u w:val="none"/>
        </w:rPr>
        <w:t xml:space="preserve">ΠΑΡΑΡΤΗΜΑ II</w:t>
      </w:r>
    </w:p>
    <w:p w14:paraId="3EED48F6" w14:textId="77777777" w:rsidR="00A1733E" w:rsidRPr="0031221C" w:rsidRDefault="00A1733E" w:rsidP="006A78BA">
      <w:pPr>
        <w:pStyle w:val="Annexetitre"/>
        <w:rPr>
          <w:u w:val="none"/>
        </w:rPr>
      </w:pPr>
      <w:r>
        <w:rPr>
          <w:u w:val="none"/>
        </w:rPr>
        <w:t xml:space="preserve">«ΠΑΡΑΡΤΗΜΑ XXXVIII</w:t>
      </w:r>
    </w:p>
    <w:p w14:paraId="77F10DF1" w14:textId="10384F48" w:rsidR="006A78BA" w:rsidRPr="0031221C" w:rsidRDefault="0078309E" w:rsidP="006A78BA">
      <w:pPr>
        <w:pStyle w:val="Annexetitre"/>
        <w:rPr>
          <w:u w:val="none"/>
        </w:rPr>
      </w:pPr>
      <w:r>
        <w:rPr>
          <w:u w:val="none"/>
        </w:rPr>
        <w:t xml:space="preserve">Οδηγίες δημοσιοποίησης όσον αφορά τα υποδείγματα για τον κίνδυνο επιτοκίου σε θέσεις που δεν κατέχονται στο χαρτοφυλάκιο συναλλαγών</w:t>
      </w:r>
    </w:p>
    <w:p w14:paraId="09721089" w14:textId="77777777" w:rsidR="006A78BA" w:rsidRPr="0031221C" w:rsidRDefault="006A78BA" w:rsidP="0054744B">
      <w:pPr>
        <w:jc w:val="both"/>
        <w:rPr>
          <w:rFonts w:ascii="Times New Roman" w:hAnsi="Times New Roman"/>
          <w:b/>
          <w:bCs/>
          <w:sz w:val="24"/>
        </w:rPr>
      </w:pPr>
    </w:p>
    <w:p w14:paraId="47A0C8EE" w14:textId="01383A2B" w:rsidR="00CD3692" w:rsidRPr="0031221C" w:rsidRDefault="00166FFE" w:rsidP="00CD3692">
      <w:pPr>
        <w:rPr>
          <w:bCs/>
          <w:sz w:val="24"/>
          <w:rFonts w:ascii="Times New Roman" w:hAnsi="Times New Roman"/>
        </w:rPr>
      </w:pPr>
      <w:r>
        <w:rPr>
          <w:b/>
          <w:sz w:val="24"/>
          <w:rFonts w:ascii="Times New Roman" w:hAnsi="Times New Roman"/>
        </w:rPr>
        <w:t xml:space="preserve">Οδηγίες δημοσιοποίησης για το υπόδειγμα EU IRRBBA</w:t>
      </w:r>
      <w:r>
        <w:rPr>
          <w:b/>
          <w:sz w:val="24"/>
          <w:rFonts w:ascii="Times New Roman" w:hAnsi="Times New Roman"/>
        </w:rPr>
        <w:t xml:space="preserve"> </w:t>
      </w:r>
    </w:p>
    <w:p w14:paraId="7E4925DA" w14:textId="77777777" w:rsidR="00CD3692" w:rsidRPr="0031221C" w:rsidRDefault="00CD3692" w:rsidP="00CD3692">
      <w:pPr>
        <w:rPr>
          <w:rFonts w:ascii="Times New Roman" w:hAnsi="Times New Roman"/>
          <w:bCs/>
          <w:sz w:val="24"/>
        </w:rPr>
      </w:pPr>
    </w:p>
    <w:p w14:paraId="31D9779B" w14:textId="7383F91C" w:rsidR="00580D58" w:rsidRPr="0031221C" w:rsidRDefault="00580D58" w:rsidP="00470043">
      <w:pPr>
        <w:spacing w:after="120"/>
        <w:jc w:val="both"/>
        <w:rPr>
          <w:color w:val="000000"/>
          <w:szCs w:val="22"/>
          <w:rFonts w:ascii="Calibri" w:eastAsia="Times New Roman" w:hAnsi="Calibri" w:cs="Times New Roman"/>
        </w:rPr>
      </w:pPr>
      <w:r>
        <w:rPr>
          <w:sz w:val="24"/>
          <w:rFonts w:ascii="Times New Roman" w:hAnsi="Times New Roman"/>
        </w:rPr>
        <w:t xml:space="preserve">Τα ιδρύματα πρέπει να δημοσιοποιούν τις ποιοτικές πληροφορίες που προσδιορίζονται κατωτέρω με βάση την εσωτερική τους μεθοδολογία συστημάτων μέτρησης κινδύνου, την τυποποιημένη μεθοδολογία ή την απλουστευμένη τυποποιημένη μεθοδολογία, κατά περίπτωση, σύμφωνα με το άρθρο 84 της οδηγίας 2013/36/ΕΕ.</w:t>
      </w:r>
    </w:p>
    <w:p w14:paraId="3D633743" w14:textId="14CE6FC2" w:rsidR="00C07A00" w:rsidRDefault="0017255F" w:rsidP="000D6C4D">
      <w:pPr>
        <w:jc w:val="both"/>
        <w:rPr>
          <w:sz w:val="24"/>
          <w:rFonts w:ascii="Times New Roman" w:hAnsi="Times New Roman" w:cs="Times New Roman"/>
        </w:rPr>
      </w:pPr>
      <w:r>
        <w:rPr>
          <w:sz w:val="24"/>
          <w:rFonts w:ascii="Times New Roman" w:hAnsi="Times New Roman"/>
        </w:rPr>
        <w:t xml:space="preserve">Οι παρούσες οδηγίες καταρτίστηκαν με βάση τις απαιτήσεις του άρθρου 448 του κανονισμού (ΕΕ) αριθ. 575/2013 και σύμφωνα με το πρότυπο δημοσιοποίησης του πυλώνα 3 της Βασιλείας.</w:t>
      </w:r>
      <w:r>
        <w:rPr>
          <w:sz w:val="24"/>
          <w:rFonts w:ascii="Times New Roman" w:hAnsi="Times New Roman"/>
        </w:rPr>
        <w:t xml:space="preserve"> </w:t>
      </w:r>
    </w:p>
    <w:p w14:paraId="4EA230EE" w14:textId="77777777" w:rsidR="000D6C4D" w:rsidRPr="0031221C" w:rsidRDefault="000D6C4D" w:rsidP="000D6C4D">
      <w:pPr>
        <w:jc w:val="both"/>
      </w:pPr>
    </w:p>
    <w:tbl>
      <w:tblPr>
        <w:tblW w:w="8926" w:type="dxa"/>
        <w:tblLook w:val="04A0" w:firstRow="1" w:lastRow="0" w:firstColumn="1" w:lastColumn="0" w:noHBand="0" w:noVBand="1"/>
      </w:tblPr>
      <w:tblGrid>
        <w:gridCol w:w="1555"/>
        <w:gridCol w:w="7371"/>
      </w:tblGrid>
      <w:tr w:rsidR="00CD3692" w:rsidRPr="0031221C" w14:paraId="5A9E0A69" w14:textId="77777777" w:rsidTr="00F930E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8FC1AD4"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Νομικά κείμενα αναφοράς και οδηγίες</w:t>
            </w:r>
          </w:p>
        </w:tc>
      </w:tr>
      <w:tr w:rsidR="00CD3692" w:rsidRPr="0031221C" w14:paraId="254CB684" w14:textId="77777777" w:rsidTr="00F930E4">
        <w:trPr>
          <w:trHeight w:val="315"/>
        </w:trPr>
        <w:tc>
          <w:tcPr>
            <w:tcW w:w="1555" w:type="dxa"/>
            <w:tcBorders>
              <w:top w:val="nil"/>
              <w:left w:val="single" w:sz="4" w:space="0" w:color="auto"/>
              <w:bottom w:val="single" w:sz="4" w:space="0" w:color="auto"/>
              <w:right w:val="single" w:sz="4" w:space="0" w:color="auto"/>
            </w:tcBorders>
            <w:shd w:val="clear" w:color="000000" w:fill="D9D9D9"/>
            <w:vAlign w:val="center"/>
            <w:hideMark/>
          </w:tcPr>
          <w:p w14:paraId="7C023E5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Αριθμός γραμμής</w:t>
            </w:r>
          </w:p>
        </w:tc>
        <w:tc>
          <w:tcPr>
            <w:tcW w:w="7371" w:type="dxa"/>
            <w:tcBorders>
              <w:top w:val="single" w:sz="4" w:space="0" w:color="auto"/>
              <w:left w:val="nil"/>
              <w:bottom w:val="single" w:sz="4" w:space="0" w:color="auto"/>
              <w:right w:val="single" w:sz="4" w:space="0" w:color="auto"/>
            </w:tcBorders>
            <w:shd w:val="clear" w:color="000000" w:fill="D9D9D9"/>
            <w:vAlign w:val="center"/>
            <w:hideMark/>
          </w:tcPr>
          <w:p w14:paraId="7D1EE539" w14:textId="77777777" w:rsidR="00CD3692" w:rsidRPr="0031221C" w:rsidRDefault="00CD3692" w:rsidP="00F930E4">
            <w:pPr>
              <w:rPr>
                <w:b/>
                <w:bCs/>
                <w:color w:val="000000"/>
                <w:szCs w:val="22"/>
                <w:rFonts w:ascii="Times New Roman" w:eastAsia="Times New Roman" w:hAnsi="Times New Roman" w:cs="Times New Roman"/>
              </w:rPr>
            </w:pPr>
            <w:r>
              <w:rPr>
                <w:b/>
                <w:color w:val="000000"/>
                <w:rFonts w:ascii="Times New Roman" w:hAnsi="Times New Roman"/>
              </w:rPr>
              <w:t xml:space="preserve">Επεξήγηση</w:t>
            </w:r>
          </w:p>
        </w:tc>
      </w:tr>
      <w:tr w:rsidR="00FC2089" w:rsidRPr="0031221C" w14:paraId="5BBA757F" w14:textId="77777777" w:rsidTr="00C143B2">
        <w:trPr>
          <w:trHeight w:val="244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25657E" w14:textId="73DDAA01" w:rsidR="00FC2089" w:rsidRPr="0031221C" w:rsidRDefault="00FC208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α)</w:t>
            </w:r>
          </w:p>
        </w:tc>
        <w:tc>
          <w:tcPr>
            <w:tcW w:w="7371" w:type="dxa"/>
            <w:tcBorders>
              <w:top w:val="single" w:sz="4" w:space="0" w:color="auto"/>
              <w:left w:val="nil"/>
              <w:bottom w:val="single" w:sz="4" w:space="0" w:color="auto"/>
              <w:right w:val="single" w:sz="4" w:space="0" w:color="auto"/>
            </w:tcBorders>
            <w:shd w:val="clear" w:color="auto" w:fill="auto"/>
            <w:vAlign w:val="center"/>
          </w:tcPr>
          <w:p w14:paraId="2DF47E25" w14:textId="66C09E90" w:rsidR="00FC2089" w:rsidRPr="0031221C" w:rsidRDefault="00465DF4"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Περιγραφή του τρόπου με τον οποίο το ίδρυμα ορίζει τον IRRBB για τους σκοπούς του ελέγχου και της μέτρησης του κινδύνου</w:t>
            </w:r>
          </w:p>
          <w:p w14:paraId="3FB34713" w14:textId="03A80E6F" w:rsidR="00FC2089" w:rsidRPr="0031221C" w:rsidRDefault="00133E44"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1 στοιχείο ε) του κανονισμού (ΕΕ) αριθ. 575/2013, τα ιδρύματα πρέπει να παρέχουν περιγραφή του τρόπου με τον οποίο τα ιδρύματα ορίζουν, μετρούν, μετριάζουν και ελέγχουν τον κίνδυνο επιτοκίου των εκτός χαρτοφυλακίου δραστηριοτήτων τους για τους σκοπούς του ελέγχου από τις αρμόδιες αρχές, σύμφωνα με το άρθρο 84 της οδηγίας 2013/36/ΕΕ</w:t>
            </w:r>
          </w:p>
        </w:tc>
      </w:tr>
      <w:tr w:rsidR="00465DF4" w:rsidRPr="0031221C" w14:paraId="68082CB2" w14:textId="77777777" w:rsidTr="00F930E4">
        <w:trPr>
          <w:trHeight w:val="301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474795CC" w14:textId="1C705731" w:rsidR="00465DF4" w:rsidRPr="0031221C" w:rsidRDefault="00465DF4"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β)</w:t>
            </w:r>
          </w:p>
        </w:tc>
        <w:tc>
          <w:tcPr>
            <w:tcW w:w="7371" w:type="dxa"/>
            <w:tcBorders>
              <w:top w:val="single" w:sz="4" w:space="0" w:color="auto"/>
              <w:left w:val="nil"/>
              <w:bottom w:val="single" w:sz="4" w:space="0" w:color="auto"/>
              <w:right w:val="single" w:sz="4" w:space="0" w:color="auto"/>
            </w:tcBorders>
            <w:shd w:val="clear" w:color="auto" w:fill="auto"/>
            <w:vAlign w:val="center"/>
          </w:tcPr>
          <w:p w14:paraId="602EFF4A" w14:textId="20E6E488" w:rsidR="00465DF4" w:rsidRPr="0031221C" w:rsidRDefault="00EA2452"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Περιγραφή των συνολικών στρατηγικών διαχείρισης και μετριασμού του IRRBB του ιδρύματος</w:t>
            </w:r>
          </w:p>
          <w:p w14:paraId="204A9378" w14:textId="5470BAC2" w:rsidR="005F58E6" w:rsidRPr="0031221C" w:rsidRDefault="005F58E6" w:rsidP="007012E2">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1 στοιχείο στ) του κανονισμού (ΕΕ) αριθ. 575/2013, τα ιδρύματα πρέπει να παρέχουν την περιγραφή των γενικών στρατηγικών διαχείρισης και μετριασμού του IRRBB, η οποία συμπεριλαμβάνει τα εξής:</w:t>
            </w:r>
            <w:r>
              <w:rPr>
                <w:color w:val="000000"/>
                <w:rFonts w:ascii="Times New Roman" w:hAnsi="Times New Roman"/>
              </w:rPr>
              <w:t xml:space="preserve"> </w:t>
            </w:r>
            <w:r>
              <w:rPr>
                <w:color w:val="000000"/>
                <w:rFonts w:ascii="Times New Roman" w:hAnsi="Times New Roman"/>
              </w:rPr>
              <w:t xml:space="preserve">την παρακολούθηση της οικονομικής αξίας των μετοχών και των καθαρών εσόδων από τόκους σε σχέση με τα καθορισμένα όρια, τις πρακτικές αντιστάθμισης κινδύνων, τη διενέργεια προσομοιώσεων ακραίων καταστάσεων, την ανάλυση των αποτελεσμάτων, τον ρόλο του ανεξάρτητου ελέγχου, τον ρόλο και τις πρακτικές της επιτροπής διαχείρισης ενεργητικού-παθητικού, τις πρακτικές του ιδρύματος για τη διασφάλιση της ενδεδειγμένης επικύρωσης υποδειγμάτων και τις έγκαιρες επικαιροποιήσεις των υποδειγμάτων ως απάντηση στις μεταβαλλόμενες συνθήκες της αγοράς.</w:t>
            </w:r>
          </w:p>
        </w:tc>
      </w:tr>
      <w:tr w:rsidR="00EA2452" w:rsidRPr="0031221C" w14:paraId="00B80900" w14:textId="77777777" w:rsidTr="00C41D59">
        <w:trPr>
          <w:trHeight w:val="841"/>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201763AB" w14:textId="4C8DCD01" w:rsidR="00EA2452" w:rsidRPr="0031221C" w:rsidRDefault="00EA2452" w:rsidP="00EA2452">
            <w:pPr>
              <w:jc w:val="center"/>
              <w:rPr>
                <w:color w:val="000000"/>
                <w:szCs w:val="22"/>
                <w:rFonts w:ascii="Times New Roman" w:eastAsia="Times New Roman" w:hAnsi="Times New Roman" w:cs="Times New Roman"/>
              </w:rPr>
            </w:pPr>
            <w:r>
              <w:rPr>
                <w:color w:val="000000"/>
                <w:rFonts w:ascii="Times New Roman" w:hAnsi="Times New Roman"/>
              </w:rPr>
              <w:t xml:space="preserve">γ)</w:t>
            </w:r>
          </w:p>
        </w:tc>
        <w:tc>
          <w:tcPr>
            <w:tcW w:w="7371" w:type="dxa"/>
            <w:tcBorders>
              <w:top w:val="single" w:sz="4" w:space="0" w:color="auto"/>
              <w:left w:val="nil"/>
              <w:bottom w:val="single" w:sz="4" w:space="0" w:color="auto"/>
              <w:right w:val="single" w:sz="4" w:space="0" w:color="auto"/>
            </w:tcBorders>
            <w:shd w:val="clear" w:color="auto" w:fill="auto"/>
            <w:vAlign w:val="center"/>
          </w:tcPr>
          <w:p w14:paraId="3F78C5C7" w14:textId="77777777" w:rsidR="008F617B" w:rsidRPr="0031221C" w:rsidRDefault="008F617B" w:rsidP="00B650A9">
            <w:pPr>
              <w:spacing w:after="120"/>
              <w:jc w:val="both"/>
              <w:rPr>
                <w:rFonts w:ascii="Times New Roman" w:eastAsia="Times New Roman" w:hAnsi="Times New Roman" w:cs="Times New Roman"/>
                <w:color w:val="000000"/>
                <w:szCs w:val="22"/>
                <w:lang w:eastAsia="en-GB"/>
              </w:rPr>
            </w:pPr>
          </w:p>
          <w:p w14:paraId="074838C9" w14:textId="79671406" w:rsidR="00716636" w:rsidRPr="0031221C" w:rsidRDefault="00716636"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Περιοδικότητα του υπολογισμού των μετρήσεων IRRBB του ιδρύματος και περιγραφή των συγκεκριμένων μετρήσεων που χρησιμοποιεί το ίδρυμα για να εκτιμήσει την ευαισθησία του στον IRRBB</w:t>
            </w:r>
          </w:p>
          <w:p w14:paraId="6FC20A2F" w14:textId="7F1E505C" w:rsidR="00EA2452" w:rsidRPr="0031221C" w:rsidRDefault="00716636"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1 στοιχείο ε) σημεία i) και v) του κανονισμού (ΕΕ) αριθ. 575/2013, τα ιδρύματα πρέπει να παρέχουν περιγραφή των ειδικών μετρήσεων κινδύνου που χρησιμοποιούν για να αξιολογούν τις μεταβολές της οικονομικής αξίας των μετοχών τους και των καθαρών εσόδων τους από τόκους, αλλά και να αναφέρουν τη συχνότητα με την οποία αξιολογείται ο κίνδυνος επιτοκίου.</w:t>
            </w:r>
          </w:p>
          <w:p w14:paraId="3C576B31" w14:textId="6E0F133A"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2 του κανονισμού (ΕΕ) αριθ. 575/2013, η περιγραφή των ειδικών μετρήσεων κινδύνου που χρησιμοποιούνται για την εκτίμηση της ευαισθησίας στον IRRBB δεν απαιτείται για τα ιδρύματα που χρησιμοποιούν την τυποποιημένη μεθοδολογία ή την απλουστευμένη τυποποιημένη μεθοδολογία που αναφέρεται στο άρθρο 84 παράγραφος 1 της οδηγίας 2013/36/ΕΕ.</w:t>
            </w:r>
          </w:p>
        </w:tc>
      </w:tr>
      <w:tr w:rsidR="00716636" w:rsidRPr="0031221C" w14:paraId="3452DFD3" w14:textId="77777777" w:rsidTr="00C143B2">
        <w:trPr>
          <w:trHeight w:val="197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93A998" w14:textId="3472E13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δ)</w:t>
            </w:r>
          </w:p>
        </w:tc>
        <w:tc>
          <w:tcPr>
            <w:tcW w:w="7371" w:type="dxa"/>
            <w:tcBorders>
              <w:top w:val="single" w:sz="4" w:space="0" w:color="auto"/>
              <w:left w:val="nil"/>
              <w:bottom w:val="single" w:sz="4" w:space="0" w:color="auto"/>
              <w:right w:val="single" w:sz="4" w:space="0" w:color="auto"/>
            </w:tcBorders>
            <w:shd w:val="clear" w:color="auto" w:fill="auto"/>
            <w:vAlign w:val="center"/>
          </w:tcPr>
          <w:p w14:paraId="086EC818" w14:textId="713F89A4" w:rsidR="00716636" w:rsidRPr="0031221C" w:rsidRDefault="00716636" w:rsidP="00716636">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Περιγραφή των σεναρίων διαταραχής επιτοκίου και ακραίων καταστάσεων που χρησιμοποιεί το ίδρυμα για την εκτίμηση των μεταβολών στην οικονομική αξία και στα καθαρά έσοδα από τόκους (κατά περίπτωση)</w:t>
            </w:r>
          </w:p>
          <w:p w14:paraId="24AB856B" w14:textId="5DBA799D" w:rsidR="00716636" w:rsidRPr="0031221C" w:rsidRDefault="00716636" w:rsidP="00226654">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1 στοιχείο ε) σημείο iii) του κανονισμού (ΕΕ) αριθ. 575/2013, τα ιδρύματα πρέπει να παρέχουν περιγραφή των σεναρίων διαταραχών επιτοκίων που χρησιμοποιούν για την εκτίμηση του κινδύνου επιτοκίου.</w:t>
            </w:r>
          </w:p>
          <w:p w14:paraId="05DE1832" w14:textId="3AF43FAB" w:rsidR="0013410F" w:rsidRPr="0031221C" w:rsidRDefault="0013410F" w:rsidP="00721ADE">
            <w:pPr>
              <w:spacing w:before="120" w:after="120"/>
              <w:jc w:val="both"/>
              <w:rPr>
                <w:color w:val="000000"/>
                <w:sz w:val="24"/>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2 του κανονισμού (ΕΕ) αριθ. 575/2013, οι απαιτήσεις αυτές δημοσιοποίησης δεν εφαρμόζονται σε ιδρύματα που χρησιμοποιούν την τυποποιημένη μεθοδολογία ή την απλουστευμένη τυποποιημένη μεθοδολογία που αναφέρεται στο άρθρο 84 παράγραφος 1 της οδηγίας 2013/36/ΕΕ.</w:t>
            </w:r>
          </w:p>
        </w:tc>
      </w:tr>
      <w:tr w:rsidR="00716636" w:rsidRPr="0031221C" w14:paraId="7F74CA5A" w14:textId="77777777" w:rsidTr="00005B93">
        <w:trPr>
          <w:trHeight w:val="2966"/>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A210618" w14:textId="7713D88E" w:rsidR="00716636" w:rsidRPr="0031221C" w:rsidRDefault="00716636"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ε)</w:t>
            </w:r>
          </w:p>
        </w:tc>
        <w:tc>
          <w:tcPr>
            <w:tcW w:w="7371" w:type="dxa"/>
            <w:tcBorders>
              <w:top w:val="single" w:sz="4" w:space="0" w:color="auto"/>
              <w:left w:val="nil"/>
              <w:bottom w:val="single" w:sz="4" w:space="0" w:color="auto"/>
              <w:right w:val="single" w:sz="4" w:space="0" w:color="auto"/>
            </w:tcBorders>
            <w:shd w:val="clear" w:color="auto" w:fill="auto"/>
            <w:vAlign w:val="center"/>
          </w:tcPr>
          <w:p w14:paraId="7576C839" w14:textId="00FE41FE" w:rsidR="0094340A" w:rsidRPr="0031221C" w:rsidRDefault="0094340A" w:rsidP="00F930E4">
            <w:pPr>
              <w:spacing w:before="120"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Περιγραφή των βασικών παραδοχών για την ανάπτυξη υποδειγμάτων και παραμέτρων που διαφέρουν από εκείνες που χρησιμοποιούνται για τη δημοσιοποίηση του υποδείγματος EU IRRBB1 (κατά περίπτωση)</w:t>
            </w:r>
          </w:p>
          <w:p w14:paraId="15A00557" w14:textId="4EC63038" w:rsidR="00716636" w:rsidRPr="0031221C" w:rsidRDefault="0094340A" w:rsidP="0094340A">
            <w:pPr>
              <w:spacing w:before="120" w:after="120"/>
              <w:jc w:val="both"/>
              <w:rPr>
                <w:color w:val="000000"/>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1 στοιχείο ε) σημείο ii) του κανονισμού (ΕΕ) αριθ. 575/2013, όταν οι βασικές παραδοχές για την ανάπτυξη υποδειγμάτων και παραμέτρων που χρησιμοποιούνται στα εσωτερικά συστήματα μέτρησης του ιδρύματος διαφέρουν από τις κοινές παραδοχές που αναφέρονται στο άρθρο 98 παράγραφος 5α της οδηγίας 2013/36/ΕΕ που χρησιμοποιούνται για τη δημοσιοποίηση του υποδείγματος EU IRRBB1, το ίδρυμα παρέχει περιγραφή των εν λόγω βασικών παραδοχών, συμπεριλαμβανομένου του σκεπτικού για τις εν λόγω διαφορές (π.χ. ιστορικά δεδομένα, δημοσιευμένες έρευνες, κρίσεις και αναλύσεις στον τομέα της διαχείρισης κ.λπ.).</w:t>
            </w:r>
          </w:p>
          <w:p w14:paraId="3FF39A57" w14:textId="5F109832" w:rsidR="003B1160" w:rsidRPr="0031221C" w:rsidRDefault="0013410F" w:rsidP="00721ADE">
            <w:pPr>
              <w:spacing w:before="120"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2 του κανονισμού (ΕΕ) αριθ. 575/2013, οι απαιτήσεις αυτές δημοσιοποίησης δεν εφαρμόζονται σε ιδρύματα που χρησιμοποιούν την τυποποιημένη μεθοδολογία ή την απλουστευμένη τυποποιημένη μεθοδολογία που αναφέρεται στο άρθρο 84 παράγραφος 1 της οδηγίας 2013/36/ΕΕ.</w:t>
            </w:r>
          </w:p>
        </w:tc>
      </w:tr>
      <w:tr w:rsidR="0094340A" w:rsidRPr="0031221C" w14:paraId="766E1A7E" w14:textId="77777777" w:rsidTr="00005B93">
        <w:trPr>
          <w:trHeight w:val="230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239BE99" w14:textId="6073D3B2" w:rsidR="0094340A" w:rsidRPr="0031221C" w:rsidRDefault="0094340A"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στ)</w:t>
            </w:r>
          </w:p>
        </w:tc>
        <w:tc>
          <w:tcPr>
            <w:tcW w:w="7371" w:type="dxa"/>
            <w:tcBorders>
              <w:top w:val="single" w:sz="4" w:space="0" w:color="auto"/>
              <w:left w:val="nil"/>
              <w:bottom w:val="single" w:sz="4" w:space="0" w:color="auto"/>
              <w:right w:val="single" w:sz="4" w:space="0" w:color="auto"/>
            </w:tcBorders>
            <w:shd w:val="clear" w:color="auto" w:fill="auto"/>
            <w:vAlign w:val="center"/>
          </w:tcPr>
          <w:p w14:paraId="0384639B" w14:textId="05CA8B66" w:rsidR="0094340A" w:rsidRPr="0031221C" w:rsidRDefault="001A6E70" w:rsidP="00B650A9">
            <w:pPr>
              <w:spacing w:after="120"/>
              <w:jc w:val="both"/>
              <w:rPr>
                <w:b/>
                <w:color w:val="000000"/>
                <w:szCs w:val="22"/>
                <w:rFonts w:ascii="Times New Roman" w:eastAsia="Times New Roman" w:hAnsi="Times New Roman" w:cs="Times New Roman"/>
              </w:rPr>
            </w:pPr>
            <w:r>
              <w:rPr>
                <w:b/>
                <w:color w:val="000000"/>
                <w:rFonts w:ascii="Times New Roman" w:hAnsi="Times New Roman"/>
              </w:rPr>
              <w:t xml:space="preserve">Υψηλού επιπέδου περιγραφή του τρόπου με τον οποίο το ίδρυμα αντισταθμίζει τον IRRBB, καθώς και της συναφούς λογιστικής αντιμετώπισης (κατά περίπτωση)</w:t>
            </w:r>
          </w:p>
          <w:p w14:paraId="70B99ACF" w14:textId="007FE981" w:rsidR="0094340A" w:rsidRPr="0031221C" w:rsidRDefault="001A6E70"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Ειδικότερα, σύμφωνα με το άρθρο 448 παράγραφος 1 στοιχείο ε) σημείο iv) του κανονισμού (ΕΕ) αριθ. 575/2013, τα ιδρύματα πρέπει να προσδιορίζουν το αποτέλεσμα των αντισταθμίσεων έναντι των κινδύνων επιτοκίου τους, συμπεριλαμβανομένων των εσωτερικών αντισταθμίσεων που πληρούν τις απαιτήσεις που ορίζονται στο άρθρο 106 παράγραφος 3 του κανονισμού (ΕΕ) αριθ. 575/2013.</w:t>
            </w:r>
          </w:p>
          <w:p w14:paraId="4C51BA8A" w14:textId="2771AF79" w:rsidR="0013410F" w:rsidRPr="0031221C" w:rsidRDefault="0013410F" w:rsidP="00721AD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2 του κανονισμού (ΕΕ) αριθ. 575/2013, οι απαιτήσεις αυτές δημοσιοποίησης δεν εφαρμόζονται σε ιδρύματα που χρησιμοποιούν την τυποποιημένη μεθοδολογία ή την απλουστευμένη τυποποιημένη μεθοδολογία που αναφέρεται στο άρθρο 84 παράγραφος 1 της οδηγίας 2013/36/ΕΕ.</w:t>
            </w:r>
          </w:p>
        </w:tc>
      </w:tr>
      <w:tr w:rsidR="00CD3692" w:rsidRPr="0031221C" w14:paraId="6344348E" w14:textId="77777777" w:rsidTr="0064412E">
        <w:trPr>
          <w:trHeight w:val="1408"/>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B4B5" w14:textId="349E9B67" w:rsidR="00CD3692" w:rsidRPr="0031221C" w:rsidRDefault="00CF6849"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ζ)</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01DB3390" w14:textId="6E2E0F9E" w:rsidR="00CD3692" w:rsidRPr="0031221C" w:rsidRDefault="00EA1CF8" w:rsidP="00B650A9">
            <w:pPr>
              <w:spacing w:before="120" w:after="120"/>
              <w:jc w:val="both"/>
              <w:rPr>
                <w:color w:val="000000"/>
                <w:sz w:val="24"/>
                <w:szCs w:val="22"/>
                <w:rFonts w:ascii="Times New Roman" w:eastAsia="Times New Roman" w:hAnsi="Times New Roman" w:cs="Times New Roman"/>
              </w:rPr>
            </w:pPr>
            <w:r>
              <w:rPr>
                <w:b/>
                <w:color w:val="000000"/>
                <w:sz w:val="24"/>
                <w:rFonts w:ascii="Times New Roman" w:hAnsi="Times New Roman"/>
              </w:rPr>
              <w:t xml:space="preserve">Περιγραφή των βασικών παραδοχών για την ανάπτυξη υποδειγμάτων και παραμέτρων που διαφέρουν από εκείνες που χρησιμοποιούνται για τη δημοσιοποίηση του υποδείγματος EU IRRBB1 (κατά περίπτωση)</w:t>
            </w:r>
          </w:p>
          <w:p w14:paraId="083A4172" w14:textId="093A90CF" w:rsidR="00CD3692" w:rsidRPr="0031221C" w:rsidRDefault="00133E44" w:rsidP="00B650A9">
            <w:pPr>
              <w:jc w:val="both"/>
              <w:rPr>
                <w:color w:val="000000"/>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1 στοιχείο γ) του κανονισμού (ΕΕ) αριθ. 575/2013, τα ιδρύματα πρέπει να παρέχουν περιγραφή των βασικών παραδοχών για την ανάπτυξη υποδειγμάτων και παραμέτρων, εκτός από τις αναφερόμενες στο άρθρο 98 παράγραφος 5α στοιχεία β) και γ) της οδηγίας 2013/36/ΕΕ, οι οποίες χρησιμοποιούνται για τον υπολογισμό των μεταβολών της οικονομικής αξίας των μετοχών και των καθαρών εσόδων από τόκους στο υπόδειγμα EU IRRBB1.</w:t>
            </w:r>
            <w:r>
              <w:rPr>
                <w:color w:val="000000"/>
                <w:rFonts w:ascii="Times New Roman" w:hAnsi="Times New Roman"/>
              </w:rPr>
              <w:t xml:space="preserve"> </w:t>
            </w:r>
            <w:r>
              <w:rPr>
                <w:color w:val="000000"/>
                <w:rFonts w:ascii="Times New Roman" w:hAnsi="Times New Roman"/>
              </w:rPr>
              <w:t xml:space="preserve">Αυτή η περιγραφή πρέπει να περιλαμβάνει τουλάχιστον:</w:t>
            </w:r>
          </w:p>
          <w:p w14:paraId="26388E97" w14:textId="6114187E" w:rsidR="00843F8C" w:rsidRPr="0031221C" w:rsidRDefault="0016128F"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τον τρόπο με τον οποίο έχει προσδιοριστεί η μέση ληκτότητα αποτίμησης των καταθέσεων όψεως, συμπεριλαμβανομένων τυχόν μοναδικών χαρακτηριστικών προϊόντος που επηρεάζουν την τεκμαιρόμενη συμπεριφορική ημερομηνία αποτίμησης·</w:t>
            </w:r>
          </w:p>
          <w:p w14:paraId="01CB0AA3" w14:textId="2D904141" w:rsidR="00843F8C" w:rsidRPr="0031221C" w:rsidRDefault="00843F8C"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τη μεθοδολογία που χρησιμοποιείται για την εκτίμηση των ποσοστών προεξόφλησης δανείων και/ή των ποσοστών πρόωρης ανάληψης προθεσμιακών καταθέσεων, καθώς και άλλες σημαντικές παραδοχές·</w:t>
            </w:r>
          </w:p>
          <w:p w14:paraId="1BD4D78B" w14:textId="273602CC" w:rsidR="00AE69B7" w:rsidRPr="0031221C" w:rsidRDefault="00745B25" w:rsidP="00B650A9">
            <w:pPr>
              <w:pStyle w:val="ListParagraph"/>
              <w:numPr>
                <w:ilvl w:val="0"/>
                <w:numId w:val="8"/>
              </w:numPr>
              <w:jc w:val="both"/>
              <w:rPr>
                <w:color w:val="000000"/>
                <w:szCs w:val="22"/>
                <w:rFonts w:ascii="Times New Roman" w:eastAsia="Times New Roman" w:hAnsi="Times New Roman" w:cs="Times New Roman"/>
              </w:rPr>
            </w:pPr>
            <w:r>
              <w:rPr>
                <w:color w:val="000000"/>
                <w:rFonts w:ascii="Times New Roman" w:hAnsi="Times New Roman"/>
              </w:rPr>
              <w:t xml:space="preserve">οποιεσδήποτε άλλες παραδοχές, μεταξύ άλλων για μέσα με συμπεριφορικά δικαιώματα προαίρεσης, που έχουν ουσιώδη αντίκτυπο στις μετρήσεις IRRBB που δημοσιοποιούνται στο υπόδειγμα EU IRRBB1, συμπεριλαμβανομένης επεξήγησης των λόγων για τους οποίους είναι ουσιώδεις.</w:t>
            </w:r>
          </w:p>
          <w:p w14:paraId="2195D942" w14:textId="77777777" w:rsidR="005E2B3A" w:rsidRPr="0031221C" w:rsidRDefault="005E2B3A" w:rsidP="00B650A9">
            <w:pPr>
              <w:jc w:val="both"/>
              <w:rPr>
                <w:rFonts w:ascii="Times New Roman" w:eastAsia="Times New Roman" w:hAnsi="Times New Roman" w:cs="Times New Roman"/>
                <w:color w:val="000000"/>
                <w:szCs w:val="22"/>
                <w:lang w:eastAsia="en-GB"/>
              </w:rPr>
            </w:pPr>
          </w:p>
          <w:p w14:paraId="5155CA71" w14:textId="23D5624A" w:rsidR="005E2B3A" w:rsidRPr="0031221C" w:rsidRDefault="005E2B3A" w:rsidP="00721ADE">
            <w:pPr>
              <w:jc w:val="both"/>
              <w:rPr>
                <w:color w:val="000000"/>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2 του κανονισμού (ΕΕ) αριθ. 575/2013, οι απαιτήσεις αυτές δημοσιοποίησης δεν εφαρμόζονται σε ιδρύματα που χρησιμοποιούν την τυποποιημένη μεθοδολογία ή την απλουστευμένη τυποποιημένη μεθοδολογία που αναφέρεται στο άρθρο 84 παράγραφος 1 της οδηγίας 2013/36/ΕΕ.</w:t>
            </w:r>
          </w:p>
        </w:tc>
      </w:tr>
      <w:tr w:rsidR="00CD3692" w:rsidRPr="0031221C" w14:paraId="124DC3B1" w14:textId="77777777" w:rsidTr="00F930E4">
        <w:trPr>
          <w:trHeight w:val="189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AA124D2" w14:textId="3A2AB43A" w:rsidR="00CD3692" w:rsidRPr="0031221C" w:rsidRDefault="00C143B2"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η)</w:t>
            </w:r>
            <w:r>
              <w:rPr>
                <w:color w:val="000000"/>
                <w:rFonts w:ascii="Times New Roman" w:hAnsi="Times New Roman"/>
              </w:rPr>
              <w:t xml:space="preserve">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7794F6D" w14:textId="6C923999" w:rsidR="003C310D" w:rsidRPr="0031221C" w:rsidRDefault="003C310D"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Επεξήγηση της σημασίας των μετρήσεων IRRBB και των σημαντικών διαφοροποιήσεών τους σε σχέση με προηγούμενες δημοσιοποιήσεις</w:t>
            </w:r>
          </w:p>
          <w:p w14:paraId="79D598A4" w14:textId="45AA4311" w:rsidR="00CD3692" w:rsidRPr="0031221C" w:rsidRDefault="00133E44" w:rsidP="00942E61">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1 στοιχείο δ) του κανονισμού (ΕΕ) αριθ. 575/2013, τα ιδρύματα παρέχουν επεξήγηση της σημασίας των μετρήσεων IRRBB που δημοσιοποιούνται στο υπόδειγμα EU IRRBB1 και τυχόν σημαντικών διακυμάνσεων των εν λόγω μετρήσεων IRRBB από την προηγούμενη ημερομηνία αναφοράς της δημοσιοποίησης.</w:t>
            </w:r>
          </w:p>
        </w:tc>
      </w:tr>
      <w:tr w:rsidR="007573CB" w:rsidRPr="0031221C" w14:paraId="7AE95BD0"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4CEE7D5" w14:textId="3CB7C340" w:rsidR="007573CB" w:rsidRPr="0031221C" w:rsidRDefault="00912FEC"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θ)</w:t>
            </w:r>
          </w:p>
        </w:tc>
        <w:tc>
          <w:tcPr>
            <w:tcW w:w="7371" w:type="dxa"/>
            <w:tcBorders>
              <w:top w:val="single" w:sz="4" w:space="0" w:color="auto"/>
              <w:left w:val="nil"/>
              <w:bottom w:val="single" w:sz="4" w:space="0" w:color="auto"/>
              <w:right w:val="single" w:sz="4" w:space="0" w:color="auto"/>
            </w:tcBorders>
            <w:shd w:val="clear" w:color="auto" w:fill="auto"/>
            <w:vAlign w:val="center"/>
          </w:tcPr>
          <w:p w14:paraId="45D4BD64" w14:textId="782047AF" w:rsidR="007573CB" w:rsidRPr="0031221C" w:rsidRDefault="007573CB"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Κάθε άλλη σχετική πληροφορία σχετικά με τις μετρήσεις IRRBB που δημοσιοποιούνται στο υπόδειγμα EU IRRBB1 (προαιρετικό)</w:t>
            </w:r>
          </w:p>
          <w:p w14:paraId="4A261DD1" w14:textId="6EDF41BA" w:rsidR="007F15BF" w:rsidRPr="0031221C" w:rsidRDefault="007573CB" w:rsidP="00B650A9">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Κάθε άλλη σχετική πληροφορία που επιθυμούν να δημοσιοποιήσουν τα ιδρύματα σχετικά με τις μετρήσεις IRRBB που περιλαμβάνονται στο υπόδειγμα EU IRRBB1</w:t>
            </w:r>
            <w:r>
              <w:rPr>
                <w:color w:val="000000"/>
                <w:rFonts w:ascii="Times New Roman" w:hAnsi="Times New Roman"/>
              </w:rPr>
              <w:t xml:space="preserve"> </w:t>
            </w:r>
          </w:p>
          <w:p w14:paraId="10A0910D" w14:textId="43AEBA65" w:rsidR="007573CB" w:rsidRPr="0031221C" w:rsidRDefault="002B630E" w:rsidP="002B630E">
            <w:pPr>
              <w:spacing w:after="120"/>
              <w:jc w:val="both"/>
              <w:rPr>
                <w:color w:val="000000"/>
                <w:szCs w:val="22"/>
                <w:rFonts w:ascii="Times New Roman" w:eastAsia="Times New Roman" w:hAnsi="Times New Roman" w:cs="Times New Roman"/>
              </w:rPr>
            </w:pPr>
            <w:r>
              <w:rPr>
                <w:color w:val="000000"/>
                <w:rFonts w:ascii="Times New Roman" w:hAnsi="Times New Roman"/>
              </w:rPr>
              <w:t xml:space="preserve">.</w:t>
            </w:r>
            <w:r>
              <w:rPr>
                <w:color w:val="000000"/>
                <w:rFonts w:ascii="Times New Roman" w:hAnsi="Times New Roman"/>
              </w:rPr>
              <w:t xml:space="preserve"> </w:t>
            </w:r>
            <w:r>
              <w:t xml:space="preserve"> </w:t>
            </w:r>
            <w:r>
              <w:rPr>
                <w:color w:val="000000"/>
                <w:rFonts w:ascii="Times New Roman" w:hAnsi="Times New Roman"/>
              </w:rPr>
              <w:t xml:space="preserve">Έως ότου εφαρμοστούν τα κριτήρια των κατευθυντήριων γραμμών που ορίζονται στο άρθρο 84 παράγραφος 6 της οδηγίας 2013/36/ΕΕ και τα περαιτέρω στοιχεία που απαριθμούνται στο άρθρο 98 παράγραφος 5α της οδηγίας 2013/36/ΕΕ, τα ιδρύματα πρέπει να δημοσιοποιούν τις παραμέτρους που χρησιμοποιούνται για τα εποπτικά σενάρια διαταραχών, τον ορισμό των καθαρών εσόδων από τόκους που χρησιμοποιούν και κάθε άλλη σχετική πληροφορία για την κατανόηση του τρόπου υπολογισμού των μεταβολών των καθαρών εσόδων από τόκους στο υπόδειγμα EU IRRBB1.</w:t>
            </w:r>
            <w:r>
              <w:rPr>
                <w:color w:val="000000"/>
                <w:rFonts w:ascii="Times New Roman" w:hAnsi="Times New Roman"/>
              </w:rPr>
              <w:t xml:space="preserve"> </w:t>
            </w:r>
          </w:p>
        </w:tc>
      </w:tr>
      <w:tr w:rsidR="004F5466" w:rsidRPr="0031221C" w14:paraId="3C02208B" w14:textId="77777777" w:rsidTr="004F5466">
        <w:trPr>
          <w:trHeight w:val="1565"/>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7AC3EA22" w14:textId="416D163F" w:rsidR="004F5466" w:rsidRPr="0031221C" w:rsidRDefault="00EA1CF8" w:rsidP="00F930E4">
            <w:pPr>
              <w:jc w:val="center"/>
              <w:rPr>
                <w:color w:val="000000"/>
                <w:szCs w:val="22"/>
                <w:rFonts w:ascii="Times New Roman" w:eastAsia="Times New Roman" w:hAnsi="Times New Roman" w:cs="Times New Roman"/>
              </w:rPr>
            </w:pPr>
            <w:r>
              <w:rPr>
                <w:color w:val="000000"/>
                <w:rFonts w:ascii="Times New Roman" w:hAnsi="Times New Roman"/>
              </w:rPr>
              <w:t xml:space="preserve">(1), (2)</w:t>
            </w:r>
          </w:p>
        </w:tc>
        <w:tc>
          <w:tcPr>
            <w:tcW w:w="7371" w:type="dxa"/>
            <w:tcBorders>
              <w:top w:val="single" w:sz="4" w:space="0" w:color="auto"/>
              <w:left w:val="nil"/>
              <w:bottom w:val="single" w:sz="4" w:space="0" w:color="auto"/>
              <w:right w:val="single" w:sz="4" w:space="0" w:color="auto"/>
            </w:tcBorders>
            <w:shd w:val="clear" w:color="auto" w:fill="auto"/>
            <w:vAlign w:val="center"/>
          </w:tcPr>
          <w:p w14:paraId="25E7AF10" w14:textId="2D31C73F" w:rsidR="00065C44" w:rsidRPr="0031221C" w:rsidRDefault="00EA1CF8" w:rsidP="00B650A9">
            <w:pPr>
              <w:spacing w:after="120"/>
              <w:jc w:val="both"/>
              <w:rPr>
                <w:b/>
                <w:color w:val="000000"/>
                <w:sz w:val="24"/>
                <w:szCs w:val="22"/>
                <w:rFonts w:ascii="Times New Roman" w:eastAsia="Times New Roman" w:hAnsi="Times New Roman" w:cs="Times New Roman"/>
              </w:rPr>
            </w:pPr>
            <w:r>
              <w:rPr>
                <w:b/>
                <w:color w:val="000000"/>
                <w:sz w:val="24"/>
                <w:rFonts w:ascii="Times New Roman" w:hAnsi="Times New Roman"/>
              </w:rPr>
              <w:t xml:space="preserve">Δημοσιοποίηση της μέσης και της μεγαλύτερης ληκτότητας αποτίμησης που αποδίδεται στις καταθέσεις όψεως</w:t>
            </w:r>
          </w:p>
          <w:p w14:paraId="48FA0E44" w14:textId="035E5E4B" w:rsidR="004F5466" w:rsidRPr="0031221C" w:rsidRDefault="00065C44" w:rsidP="00942E61">
            <w:pPr>
              <w:spacing w:after="120"/>
              <w:jc w:val="both"/>
              <w:rPr>
                <w:b/>
                <w:color w:val="000000"/>
                <w:sz w:val="24"/>
                <w:szCs w:val="22"/>
                <w:rFonts w:ascii="Times New Roman" w:eastAsia="Times New Roman" w:hAnsi="Times New Roman" w:cs="Times New Roman"/>
              </w:rPr>
            </w:pPr>
            <w:r>
              <w:rPr>
                <w:color w:val="000000"/>
                <w:rFonts w:ascii="Times New Roman" w:hAnsi="Times New Roman"/>
              </w:rPr>
              <w:t xml:space="preserve">Σύμφωνα με το άρθρο 448 παράγραφος 1 στοιχείο ζ) του κανονισμού (ΕΕ) αριθ. 575/2013, τα ιδρύματα πρέπει να δημοσιοποιούν τη μέση και τη μεγαλύτερη ληκτότητα αποτίμησης που αποδίδεται στις καταθέσεις όψεως από αντισυμβαλλόμενους λιανικής και μη χρηματοοικονομικούς αντισυμβαλλομένους χονδρικής.</w:t>
            </w:r>
            <w:r>
              <w:rPr>
                <w:color w:val="000000"/>
                <w:rFonts w:ascii="Times New Roman" w:hAnsi="Times New Roman"/>
              </w:rPr>
              <w:t xml:space="preserve"> </w:t>
            </w:r>
            <w:r>
              <w:rPr>
                <w:color w:val="000000"/>
                <w:rFonts w:ascii="Times New Roman" w:hAnsi="Times New Roman"/>
              </w:rPr>
              <w:t xml:space="preserve">Στη δημοσιοποίηση αναφέρεται χωριστά τόσο το βασικό μέρος όσο και το πλήρες ποσό των καταθέσεων όψεως από αντισυμβαλλόμενους λιανικής και μη χρηματοοικονομικούς αντισυμβαλλομένους χονδρικής.</w:t>
            </w:r>
          </w:p>
        </w:tc>
      </w:tr>
    </w:tbl>
    <w:p w14:paraId="7CCC608C" w14:textId="665437C9" w:rsidR="00CD3692" w:rsidRPr="0031221C" w:rsidRDefault="00CD3692" w:rsidP="0054744B">
      <w:pPr>
        <w:jc w:val="both"/>
        <w:rPr>
          <w:rFonts w:ascii="Times New Roman" w:hAnsi="Times New Roman"/>
          <w:b/>
          <w:bCs/>
          <w:sz w:val="24"/>
        </w:rPr>
      </w:pPr>
    </w:p>
    <w:p w14:paraId="47ECF7AE" w14:textId="68E6A9FF" w:rsidR="00CD3692" w:rsidRPr="0031221C" w:rsidRDefault="00CD3692" w:rsidP="0054744B">
      <w:pPr>
        <w:jc w:val="both"/>
        <w:rPr>
          <w:rFonts w:ascii="Times New Roman" w:hAnsi="Times New Roman"/>
          <w:b/>
          <w:bCs/>
          <w:sz w:val="24"/>
        </w:rPr>
      </w:pPr>
    </w:p>
    <w:p w14:paraId="2CCE4A80" w14:textId="7996A576" w:rsidR="00CD3692" w:rsidRDefault="00CD3692" w:rsidP="0054744B">
      <w:pPr>
        <w:jc w:val="both"/>
        <w:rPr>
          <w:rFonts w:ascii="Times New Roman" w:hAnsi="Times New Roman"/>
          <w:b/>
          <w:bCs/>
          <w:sz w:val="24"/>
        </w:rPr>
      </w:pPr>
    </w:p>
    <w:p w14:paraId="23569941" w14:textId="4C420FFB" w:rsidR="000D6C4D" w:rsidRDefault="000D6C4D" w:rsidP="0054744B">
      <w:pPr>
        <w:jc w:val="both"/>
        <w:rPr>
          <w:rFonts w:ascii="Times New Roman" w:hAnsi="Times New Roman"/>
          <w:b/>
          <w:bCs/>
          <w:sz w:val="24"/>
        </w:rPr>
      </w:pPr>
    </w:p>
    <w:p w14:paraId="1D6BE0F5" w14:textId="4EA1E980" w:rsidR="000D6C4D" w:rsidRDefault="000D6C4D" w:rsidP="0054744B">
      <w:pPr>
        <w:jc w:val="both"/>
        <w:rPr>
          <w:rFonts w:ascii="Times New Roman" w:hAnsi="Times New Roman"/>
          <w:b/>
          <w:bCs/>
          <w:sz w:val="24"/>
        </w:rPr>
      </w:pPr>
    </w:p>
    <w:p w14:paraId="3487ACD1" w14:textId="53FD952F" w:rsidR="000D6C4D" w:rsidRDefault="000D6C4D" w:rsidP="0054744B">
      <w:pPr>
        <w:jc w:val="both"/>
        <w:rPr>
          <w:rFonts w:ascii="Times New Roman" w:hAnsi="Times New Roman"/>
          <w:b/>
          <w:bCs/>
          <w:sz w:val="24"/>
        </w:rPr>
      </w:pPr>
    </w:p>
    <w:p w14:paraId="4250FBF3" w14:textId="37DE64E1" w:rsidR="000D6C4D" w:rsidRDefault="000D6C4D" w:rsidP="0054744B">
      <w:pPr>
        <w:jc w:val="both"/>
        <w:rPr>
          <w:rFonts w:ascii="Times New Roman" w:hAnsi="Times New Roman"/>
          <w:b/>
          <w:bCs/>
          <w:sz w:val="24"/>
        </w:rPr>
      </w:pPr>
    </w:p>
    <w:p w14:paraId="69D0F024" w14:textId="0F997E35" w:rsidR="000D6C4D" w:rsidRDefault="000D6C4D" w:rsidP="0054744B">
      <w:pPr>
        <w:jc w:val="both"/>
        <w:rPr>
          <w:rFonts w:ascii="Times New Roman" w:hAnsi="Times New Roman"/>
          <w:b/>
          <w:bCs/>
          <w:sz w:val="24"/>
        </w:rPr>
      </w:pPr>
    </w:p>
    <w:p w14:paraId="0E8B64AA" w14:textId="14A18415" w:rsidR="000D6C4D" w:rsidRDefault="000D6C4D" w:rsidP="0054744B">
      <w:pPr>
        <w:jc w:val="both"/>
        <w:rPr>
          <w:rFonts w:ascii="Times New Roman" w:hAnsi="Times New Roman"/>
          <w:b/>
          <w:bCs/>
          <w:sz w:val="24"/>
        </w:rPr>
      </w:pPr>
    </w:p>
    <w:p w14:paraId="1354E78F" w14:textId="3B4408D4" w:rsidR="000D6C4D" w:rsidRDefault="000D6C4D" w:rsidP="0054744B">
      <w:pPr>
        <w:jc w:val="both"/>
        <w:rPr>
          <w:rFonts w:ascii="Times New Roman" w:hAnsi="Times New Roman"/>
          <w:b/>
          <w:bCs/>
          <w:sz w:val="24"/>
        </w:rPr>
      </w:pPr>
    </w:p>
    <w:p w14:paraId="3C13897A" w14:textId="548DECB4" w:rsidR="000D6C4D" w:rsidRDefault="000D6C4D" w:rsidP="0054744B">
      <w:pPr>
        <w:jc w:val="both"/>
        <w:rPr>
          <w:rFonts w:ascii="Times New Roman" w:hAnsi="Times New Roman"/>
          <w:b/>
          <w:bCs/>
          <w:sz w:val="24"/>
        </w:rPr>
      </w:pPr>
    </w:p>
    <w:p w14:paraId="63BE97FF" w14:textId="21D9ECFA" w:rsidR="000D6C4D" w:rsidRDefault="000D6C4D" w:rsidP="0054744B">
      <w:pPr>
        <w:jc w:val="both"/>
        <w:rPr>
          <w:rFonts w:ascii="Times New Roman" w:hAnsi="Times New Roman"/>
          <w:b/>
          <w:bCs/>
          <w:sz w:val="24"/>
        </w:rPr>
      </w:pPr>
    </w:p>
    <w:p w14:paraId="4064F668" w14:textId="77777777" w:rsidR="000D6C4D" w:rsidRPr="0031221C" w:rsidRDefault="000D6C4D" w:rsidP="0054744B">
      <w:pPr>
        <w:jc w:val="both"/>
        <w:rPr>
          <w:rFonts w:ascii="Times New Roman" w:hAnsi="Times New Roman"/>
          <w:b/>
          <w:bCs/>
          <w:sz w:val="24"/>
        </w:rPr>
      </w:pPr>
    </w:p>
    <w:p w14:paraId="287F28AF" w14:textId="08831685" w:rsidR="0054744B" w:rsidRPr="0031221C" w:rsidRDefault="00906CCA" w:rsidP="0054744B">
      <w:pPr>
        <w:jc w:val="both"/>
        <w:rPr>
          <w:bCs/>
          <w:sz w:val="24"/>
          <w:rFonts w:ascii="Times New Roman" w:hAnsi="Times New Roman"/>
        </w:rPr>
      </w:pPr>
      <w:r>
        <w:rPr>
          <w:b/>
          <w:sz w:val="24"/>
          <w:rFonts w:ascii="Times New Roman" w:hAnsi="Times New Roman"/>
        </w:rPr>
        <w:t xml:space="preserve">Οδηγίες δημοσιοποίησης για το υπόδειγμα EU IRRBB1</w:t>
      </w:r>
      <w:r>
        <w:rPr>
          <w:b/>
          <w:sz w:val="24"/>
          <w:rFonts w:ascii="Times New Roman" w:hAnsi="Times New Roman"/>
        </w:rPr>
        <w:t xml:space="preserve"> </w:t>
      </w:r>
    </w:p>
    <w:p w14:paraId="31489412" w14:textId="77777777" w:rsidR="0054744B" w:rsidRPr="0031221C" w:rsidRDefault="0054744B" w:rsidP="0054744B">
      <w:pPr>
        <w:ind w:left="360"/>
        <w:jc w:val="both"/>
        <w:rPr>
          <w:rFonts w:ascii="Times New Roman" w:hAnsi="Times New Roman"/>
          <w:bCs/>
          <w:sz w:val="24"/>
        </w:rPr>
      </w:pPr>
    </w:p>
    <w:p w14:paraId="341C6BAB" w14:textId="32CD6F45" w:rsidR="00580D58" w:rsidRPr="0031221C" w:rsidRDefault="00580D58" w:rsidP="000D6C4D">
      <w:pPr>
        <w:ind w:left="360"/>
        <w:jc w:val="both"/>
        <w:rPr>
          <w:bCs/>
        </w:rPr>
      </w:pPr>
    </w:p>
    <w:p w14:paraId="59C5AC78" w14:textId="3F3BF0EE" w:rsidR="00AC7CEB" w:rsidRPr="0031221C" w:rsidRDefault="00580D58" w:rsidP="0064406C">
      <w:pPr>
        <w:numPr>
          <w:ilvl w:val="0"/>
          <w:numId w:val="9"/>
        </w:numPr>
        <w:jc w:val="both"/>
        <w:rPr>
          <w:bCs/>
          <w:sz w:val="24"/>
          <w:rFonts w:ascii="Times New Roman" w:hAnsi="Times New Roman"/>
        </w:rPr>
      </w:pPr>
      <w:r>
        <w:rPr>
          <w:rFonts w:ascii="Times New Roman" w:hAnsi="Times New Roman"/>
        </w:rPr>
        <w:t xml:space="preserve">Τα ιδρύματα πρέπει να αξιολογούν τον κίνδυνο επιτοκίου των δραστηριοτήτων εκτός χαρτοφυλακίου συναλλαγών με βάση τη μεθοδολογία του εσωτερικού τους συστήματος μέτρησης, την τυποποιημένη μεθοδολογία ή την απλουστευμένη τυποποιημένη μεθοδολογία, κατά περίπτωση, κατά τα οριζόμενα στο άρθρο 84 της οδηγίας 2013/36/ΕΕ, δεδομένων των εποπτικών σεναρίων διαταραχών και των κοινών παραδοχών ανάπτυξης υποδειγμάτων και παραμέτρων που ορίζονται στο άρθρο 98 παράγραφος 5α της οδηγίας 2013/36/ΕΕ.</w:t>
      </w:r>
    </w:p>
    <w:p w14:paraId="18595772" w14:textId="50D032F2" w:rsidR="00580D58" w:rsidRPr="0031221C" w:rsidRDefault="00580D58" w:rsidP="000D6C4D">
      <w:pPr>
        <w:ind w:left="360"/>
        <w:jc w:val="both"/>
        <w:rPr>
          <w:rFonts w:ascii="Times New Roman" w:hAnsi="Times New Roman"/>
          <w:bCs/>
          <w:sz w:val="24"/>
        </w:rPr>
      </w:pPr>
    </w:p>
    <w:p w14:paraId="5E3F5B28" w14:textId="0B4D03FC" w:rsidR="00AC7CEB" w:rsidRPr="0031221C" w:rsidRDefault="00AC7CEB" w:rsidP="0064406C">
      <w:pPr>
        <w:numPr>
          <w:ilvl w:val="0"/>
          <w:numId w:val="9"/>
        </w:numPr>
        <w:jc w:val="both"/>
        <w:rPr>
          <w:bCs/>
          <w:sz w:val="24"/>
          <w:rFonts w:ascii="Times New Roman" w:hAnsi="Times New Roman"/>
        </w:rPr>
      </w:pPr>
      <w:r>
        <w:rPr>
          <w:sz w:val="24"/>
          <w:rFonts w:ascii="Times New Roman" w:hAnsi="Times New Roman"/>
        </w:rPr>
        <w:t xml:space="preserve">Οι παρούσες οδηγίες καταρτίστηκαν με βάση τις απαιτήσεις του άρθρου 448 του κανονισμού (ΕΕ) αριθ. 575/2013 και σύμφωνα με το πρότυπο δημοσιοποίησης του πυλώνα 3 της Βασιλείας.</w:t>
      </w:r>
      <w:r>
        <w:rPr>
          <w:sz w:val="24"/>
          <w:rFonts w:ascii="Times New Roman" w:hAnsi="Times New Roman"/>
        </w:rPr>
        <w:t xml:space="preserve"> </w:t>
      </w:r>
    </w:p>
    <w:p w14:paraId="71B54BD0" w14:textId="77777777" w:rsidR="00227FDC" w:rsidRPr="0031221C" w:rsidRDefault="00227FDC" w:rsidP="00A81E4E">
      <w:pPr>
        <w:jc w:val="both"/>
        <w:rPr>
          <w:rFonts w:ascii="Times New Roman" w:hAnsi="Times New Roman"/>
          <w:bCs/>
          <w:sz w:val="24"/>
        </w:rPr>
      </w:pPr>
    </w:p>
    <w:p w14:paraId="532A60CC" w14:textId="38E17551" w:rsidR="0054744B" w:rsidRPr="0031221C" w:rsidRDefault="005B5611" w:rsidP="0064406C">
      <w:pPr>
        <w:numPr>
          <w:ilvl w:val="0"/>
          <w:numId w:val="9"/>
        </w:numPr>
        <w:jc w:val="both"/>
        <w:rPr>
          <w:bCs/>
          <w:sz w:val="24"/>
          <w:rFonts w:ascii="Times New Roman" w:hAnsi="Times New Roman"/>
        </w:rPr>
      </w:pPr>
      <w:r>
        <w:rPr>
          <w:sz w:val="24"/>
          <w:rFonts w:ascii="Times New Roman" w:hAnsi="Times New Roman"/>
        </w:rPr>
        <w:t xml:space="preserve">Τα ιδρύματα δεν υποχρεούνται να παρέχουν στην πρώτη δημοσιοποίησή τους τις πληροφορίες για την προηγούμενη περίοδο.</w:t>
      </w:r>
    </w:p>
    <w:p w14:paraId="4329A1AB" w14:textId="77777777" w:rsidR="00CE0D17" w:rsidRPr="0031221C" w:rsidRDefault="00CE0D17" w:rsidP="00CE0D17">
      <w:pPr>
        <w:pStyle w:val="ListParagraph"/>
        <w:rPr>
          <w:rFonts w:ascii="Times New Roman" w:hAnsi="Times New Roman"/>
          <w:bCs/>
          <w:sz w:val="24"/>
        </w:rPr>
      </w:pPr>
    </w:p>
    <w:p w14:paraId="6EDD9A3D" w14:textId="77777777" w:rsidR="0060489A" w:rsidRPr="0031221C" w:rsidRDefault="0060489A"/>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54744B" w:rsidRPr="0031221C" w14:paraId="4761A8A4" w14:textId="77777777" w:rsidTr="0095024C">
        <w:trPr>
          <w:trHeight w:val="377"/>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110B" w14:textId="04B554CD" w:rsidR="0054744B" w:rsidRPr="0031221C" w:rsidRDefault="0054744B" w:rsidP="0054744B">
            <w:pPr>
              <w:pStyle w:val="TableTitle"/>
              <w:jc w:val="left"/>
              <w:rPr>
                <w:noProof w:val="0"/>
                <w:sz w:val="24"/>
                <w:rFonts w:ascii="Times New Roman" w:hAnsi="Times New Roman"/>
              </w:rPr>
            </w:pPr>
            <w:r>
              <w:rPr>
                <w:rFonts w:ascii="Times New Roman" w:hAnsi="Times New Roman"/>
              </w:rPr>
              <w:t xml:space="preserve">Οδηγίες για τη συμπλήρωση του υποδείγματος δημοσιοποίησης EU IRRBB1</w:t>
            </w:r>
          </w:p>
        </w:tc>
      </w:tr>
      <w:tr w:rsidR="0054744B" w:rsidRPr="0031221C" w14:paraId="4DCD406D" w14:textId="77777777" w:rsidTr="007C351F">
        <w:trPr>
          <w:trHeight w:val="238"/>
        </w:trPr>
        <w:tc>
          <w:tcPr>
            <w:tcW w:w="1271" w:type="dxa"/>
            <w:tcBorders>
              <w:bottom w:val="nil"/>
            </w:tcBorders>
            <w:shd w:val="clear" w:color="auto" w:fill="D9D9D9" w:themeFill="background1" w:themeFillShade="D9"/>
          </w:tcPr>
          <w:p w14:paraId="088F66A9" w14:textId="77777777" w:rsidR="0054744B" w:rsidRPr="0031221C" w:rsidRDefault="0054744B" w:rsidP="0060489A">
            <w:pPr>
              <w:autoSpaceDE w:val="0"/>
              <w:autoSpaceDN w:val="0"/>
              <w:adjustRightInd w:val="0"/>
              <w:rPr>
                <w:b/>
                <w:szCs w:val="22"/>
                <w:rFonts w:ascii="Times New Roman" w:hAnsi="Times New Roman" w:cs="Times New Roman"/>
              </w:rPr>
            </w:pPr>
            <w:r>
              <w:rPr>
                <w:b/>
                <w:rFonts w:ascii="Times New Roman" w:hAnsi="Times New Roman"/>
              </w:rPr>
              <w:t xml:space="preserve">Στήλη</w:t>
            </w:r>
          </w:p>
        </w:tc>
        <w:tc>
          <w:tcPr>
            <w:tcW w:w="7768" w:type="dxa"/>
            <w:tcBorders>
              <w:bottom w:val="nil"/>
            </w:tcBorders>
            <w:shd w:val="clear" w:color="auto" w:fill="D9D9D9" w:themeFill="background1" w:themeFillShade="D9"/>
          </w:tcPr>
          <w:p w14:paraId="00621506" w14:textId="77777777" w:rsidR="0054744B" w:rsidRPr="0031221C" w:rsidRDefault="0054744B" w:rsidP="0060489A">
            <w:pPr>
              <w:autoSpaceDE w:val="0"/>
              <w:autoSpaceDN w:val="0"/>
              <w:adjustRightInd w:val="0"/>
              <w:rPr>
                <w:color w:val="000000"/>
                <w:szCs w:val="22"/>
                <w:rFonts w:ascii="Times New Roman" w:hAnsi="Times New Roman" w:cs="Times New Roman"/>
              </w:rPr>
            </w:pPr>
            <w:r>
              <w:rPr>
                <w:b/>
                <w:rFonts w:ascii="Times New Roman" w:hAnsi="Times New Roman"/>
              </w:rPr>
              <w:t xml:space="preserve">Επεξήγηση</w:t>
            </w:r>
          </w:p>
        </w:tc>
      </w:tr>
      <w:tr w:rsidR="0054744B" w:rsidRPr="0031221C" w14:paraId="53AAFC46" w14:textId="77777777" w:rsidTr="007C351F">
        <w:trPr>
          <w:trHeight w:val="238"/>
        </w:trPr>
        <w:tc>
          <w:tcPr>
            <w:tcW w:w="1271" w:type="dxa"/>
            <w:shd w:val="clear" w:color="auto" w:fill="FFFFFF" w:themeFill="background1"/>
          </w:tcPr>
          <w:p w14:paraId="562D66BF" w14:textId="1E0A8346" w:rsidR="0054744B" w:rsidRPr="0031221C" w:rsidRDefault="00316B9A" w:rsidP="00F55DB0">
            <w:pPr>
              <w:autoSpaceDE w:val="0"/>
              <w:autoSpaceDN w:val="0"/>
              <w:adjustRightInd w:val="0"/>
              <w:spacing w:before="60"/>
              <w:jc w:val="center"/>
              <w:rPr>
                <w:b/>
                <w:szCs w:val="22"/>
                <w:rFonts w:ascii="Times New Roman" w:hAnsi="Times New Roman" w:cs="Times New Roman"/>
              </w:rPr>
            </w:pPr>
            <w:r>
              <w:rPr>
                <w:b/>
                <w:rFonts w:ascii="Times New Roman" w:hAnsi="Times New Roman"/>
              </w:rPr>
              <w:t xml:space="preserve">α, β</w:t>
            </w:r>
          </w:p>
        </w:tc>
        <w:tc>
          <w:tcPr>
            <w:tcW w:w="7768" w:type="dxa"/>
            <w:shd w:val="clear" w:color="auto" w:fill="FFFFFF" w:themeFill="background1"/>
          </w:tcPr>
          <w:p w14:paraId="26CB8AC0" w14:textId="3A3B49B8" w:rsidR="00793890" w:rsidRPr="0031221C" w:rsidRDefault="004E6BD5" w:rsidP="0060489A">
            <w:pPr>
              <w:spacing w:before="60" w:after="120"/>
              <w:jc w:val="both"/>
              <w:rPr>
                <w:b/>
                <w:szCs w:val="22"/>
                <w:rFonts w:ascii="Times New Roman" w:eastAsia="Times New Roman" w:hAnsi="Times New Roman" w:cs="Times New Roman"/>
              </w:rPr>
            </w:pPr>
            <w:r>
              <w:rPr>
                <w:b/>
                <w:rFonts w:ascii="Times New Roman" w:hAnsi="Times New Roman"/>
              </w:rPr>
              <w:t xml:space="preserve">Μεταβολές της οικονομικής αξίας των μετοχών</w:t>
            </w:r>
          </w:p>
          <w:p w14:paraId="7E84F9AE" w14:textId="3C5E67A3" w:rsidR="002F2E04"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Άρθρο 448 παράγραφος 1 στοιχείο α) του κανονισμού (ΕΕ) αριθ. 575/2013.</w:t>
            </w:r>
            <w:r>
              <w:rPr>
                <w:rFonts w:ascii="Times New Roman" w:hAnsi="Times New Roman"/>
              </w:rPr>
              <w:t xml:space="preserve"> </w:t>
            </w:r>
          </w:p>
          <w:p w14:paraId="4C9FBFE2" w14:textId="0CBAAF6F" w:rsidR="009C2377" w:rsidRPr="0031221C" w:rsidRDefault="009C3247" w:rsidP="009C3247">
            <w:pPr>
              <w:spacing w:before="60" w:after="120"/>
              <w:jc w:val="both"/>
              <w:rPr>
                <w:szCs w:val="22"/>
                <w:rFonts w:ascii="Times New Roman" w:hAnsi="Times New Roman" w:cs="Times New Roman"/>
              </w:rPr>
            </w:pPr>
            <w:r>
              <w:rPr>
                <w:rFonts w:ascii="Times New Roman" w:hAnsi="Times New Roman"/>
              </w:rPr>
              <w:t xml:space="preserve">Τα ιδρύματα αναφέρουν τις μεταβολές στην οικονομική αξία των μετοχών στο πλαίσιο καθενός από τα εποπτικά σενάρια διαταραχών που εφαρμόζονται στα επιτόκια, για την τρέχουσα και την προηγούμενη περίοδο, σύμφωνα με τις απαιτήσεις του άρθρου 84 και του άρθρου 98 παράγραφος 5 της οδηγίας 2013/36/ΕΕ.</w:t>
            </w:r>
          </w:p>
          <w:p w14:paraId="6996A7A9" w14:textId="72F54AA8" w:rsidR="009D7A7D" w:rsidRPr="0031221C" w:rsidRDefault="009D7A7D" w:rsidP="009D7A7D">
            <w:pPr>
              <w:spacing w:before="60" w:after="120"/>
              <w:jc w:val="both"/>
              <w:rPr>
                <w:rFonts w:ascii="Times New Roman" w:hAnsi="Times New Roman" w:cs="Times New Roman"/>
                <w:szCs w:val="22"/>
              </w:rPr>
            </w:pPr>
          </w:p>
        </w:tc>
      </w:tr>
      <w:tr w:rsidR="0054744B" w:rsidRPr="0031221C" w14:paraId="6583A42B" w14:textId="77777777" w:rsidTr="007C351F">
        <w:trPr>
          <w:trHeight w:val="238"/>
        </w:trPr>
        <w:tc>
          <w:tcPr>
            <w:tcW w:w="1271" w:type="dxa"/>
            <w:shd w:val="clear" w:color="auto" w:fill="FFFFFF" w:themeFill="background1"/>
          </w:tcPr>
          <w:p w14:paraId="619CE943" w14:textId="5F0011ED" w:rsidR="0054744B" w:rsidRPr="0031221C" w:rsidRDefault="00316B9A" w:rsidP="0060489A">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γ, δ</w:t>
            </w:r>
          </w:p>
        </w:tc>
        <w:tc>
          <w:tcPr>
            <w:tcW w:w="7768" w:type="dxa"/>
            <w:shd w:val="clear" w:color="auto" w:fill="FFFFFF" w:themeFill="background1"/>
          </w:tcPr>
          <w:p w14:paraId="5BAD9564" w14:textId="213A9B28" w:rsidR="00305C67" w:rsidRPr="0031221C" w:rsidRDefault="00316B9A" w:rsidP="00305C67">
            <w:pPr>
              <w:spacing w:before="60" w:after="120"/>
              <w:jc w:val="both"/>
              <w:rPr>
                <w:b/>
                <w:szCs w:val="22"/>
                <w:rFonts w:ascii="Times New Roman" w:eastAsia="Times New Roman" w:hAnsi="Times New Roman" w:cs="Times New Roman"/>
              </w:rPr>
            </w:pPr>
            <w:r>
              <w:rPr>
                <w:b/>
                <w:rFonts w:ascii="Times New Roman" w:hAnsi="Times New Roman"/>
              </w:rPr>
              <w:t xml:space="preserve">Μεταβολές των καθαρών εσόδων από τόκους</w:t>
            </w:r>
          </w:p>
          <w:p w14:paraId="0ED8B6C6" w14:textId="70E8F948" w:rsidR="002F2E04"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Άρθρο 448 παράγραφος 1 στοιχείο β) του κανονισμού (ΕΕ) αριθ. 575/2013.</w:t>
            </w:r>
            <w:r>
              <w:rPr>
                <w:rFonts w:ascii="Times New Roman" w:hAnsi="Times New Roman"/>
              </w:rPr>
              <w:t xml:space="preserve"> </w:t>
            </w:r>
          </w:p>
          <w:p w14:paraId="629DC825" w14:textId="34B035B2" w:rsidR="008E005A" w:rsidRPr="0031221C" w:rsidRDefault="00CE0D17" w:rsidP="00B81100">
            <w:pPr>
              <w:spacing w:before="60" w:after="120"/>
              <w:jc w:val="both"/>
              <w:rPr>
                <w:szCs w:val="22"/>
                <w:rFonts w:ascii="Times New Roman" w:hAnsi="Times New Roman" w:cs="Times New Roman"/>
              </w:rPr>
            </w:pPr>
            <w:r>
              <w:rPr>
                <w:rFonts w:ascii="Times New Roman" w:hAnsi="Times New Roman"/>
              </w:rPr>
              <w:t xml:space="preserve">Τα ιδρύματα αναφέρουν τις μεταβολές στο καθαρά έσοδα από τόκους στο πλαίσιο των δύο εποπτικών σεναρίων διαταραχών για τα επιτόκια που λαμβάνονται υπόψη στα υποδείγματα για την τρέχουσα και την προηγούμενη περίοδο, σύμφωνα με τις απαιτήσεις του άρθρου 84 και του άρθρου 98 παράγραφος 5 της οδηγίας 2013/36/ΕΕ.</w:t>
            </w:r>
            <w:r>
              <w:rPr>
                <w:rFonts w:ascii="Times New Roman" w:hAnsi="Times New Roman"/>
              </w:rPr>
              <w:t xml:space="preserve"> </w:t>
            </w:r>
          </w:p>
          <w:p w14:paraId="2D49064E" w14:textId="1AFABC17" w:rsidR="00C41D59" w:rsidRPr="0031221C" w:rsidRDefault="00C24484" w:rsidP="00C24484">
            <w:pPr>
              <w:spacing w:before="60" w:after="120"/>
              <w:jc w:val="both"/>
              <w:rPr>
                <w:szCs w:val="22"/>
                <w:rFonts w:ascii="Times New Roman" w:hAnsi="Times New Roman" w:cs="Times New Roman"/>
              </w:rPr>
            </w:pPr>
            <w:r>
              <w:rPr>
                <w:color w:val="000000"/>
                <w:rFonts w:ascii="Times New Roman" w:hAnsi="Times New Roman"/>
              </w:rPr>
              <w:t xml:space="preserve"> </w:t>
            </w:r>
            <w:r>
              <w:rPr>
                <w:rFonts w:ascii="Times New Roman" w:hAnsi="Times New Roman"/>
              </w:rPr>
              <w:t xml:space="preserve">Έως ότου εφαρμοστούν τα κριτήρια των κατευθυντήριων γραμμών που ορίζονται στο άρθρο 84 παράγραφος 6 της οδηγίας 2013/36/ΕΕ και τα περαιτέρω στοιχεία που απαριθμούνται στο άρθρο 98 παράγραφος 5α της οδηγίας 2013/36/ΕΕ, τα ιδρύματα περιγράφουν τον ορισμό και τα βασικά χαρακτηριστικά (σενάρια, παραδοχές και ορίζοντες καθαρών εσόδων από τόκους) των καθαρών εσόδων από τόκους που χρησιμοποιούν στο σημείο i) του πίνακα EU IRRBBA ή, εάν αφήσουν τις στήλες αυτές κενές, εξηγούν τους λόγους στο σημείο i) του πίνακα EU IRRBBA.</w:t>
            </w:r>
            <w:r>
              <w:rPr>
                <w:rFonts w:ascii="Times New Roman" w:hAnsi="Times New Roman"/>
              </w:rPr>
              <w:t xml:space="preserve"> </w:t>
            </w:r>
          </w:p>
        </w:tc>
      </w:tr>
      <w:tr w:rsidR="00227FDC" w:rsidRPr="0031221C" w14:paraId="55BAD1A1" w14:textId="77777777" w:rsidTr="00A81E4E">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CBAA6" w14:textId="77777777" w:rsidR="00227FDC" w:rsidRPr="0031221C" w:rsidRDefault="00227FDC" w:rsidP="00A81E4E">
            <w:pPr>
              <w:autoSpaceDE w:val="0"/>
              <w:autoSpaceDN w:val="0"/>
              <w:adjustRightInd w:val="0"/>
              <w:rPr>
                <w:b/>
                <w:szCs w:val="22"/>
                <w:rFonts w:ascii="Times New Roman" w:hAnsi="Times New Roman" w:cs="Times New Roman"/>
              </w:rPr>
            </w:pPr>
            <w:r>
              <w:rPr>
                <w:b/>
                <w:rFonts w:ascii="Times New Roman" w:hAnsi="Times New Roman"/>
              </w:rPr>
              <w:t xml:space="preserve">Γραμμή</w:t>
            </w:r>
            <w:r>
              <w:rPr>
                <w:b/>
                <w:rFonts w:ascii="Times New Roman" w:hAnsi="Times New Roman"/>
              </w:rPr>
              <w:t xml:space="preserve">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12B66" w14:textId="77777777" w:rsidR="00227FDC" w:rsidRPr="0031221C" w:rsidRDefault="00227FDC" w:rsidP="00A81E4E">
            <w:pPr>
              <w:rPr>
                <w:b/>
                <w:szCs w:val="22"/>
                <w:rFonts w:ascii="Times New Roman" w:hAnsi="Times New Roman" w:cs="Times New Roman"/>
              </w:rPr>
            </w:pPr>
            <w:r>
              <w:rPr>
                <w:b/>
                <w:rFonts w:ascii="Times New Roman" w:hAnsi="Times New Roman"/>
              </w:rPr>
              <w:t xml:space="preserve">Επεξήγηση</w:t>
            </w:r>
          </w:p>
        </w:tc>
      </w:tr>
      <w:tr w:rsidR="00227FDC" w:rsidRPr="0031221C" w14:paraId="58E34903"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08E4B4" w14:textId="7F6176AD"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3AB7B7" w14:textId="385B87B7"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Παράλληλη ανοδική</w:t>
            </w:r>
          </w:p>
          <w:p w14:paraId="460792B5" w14:textId="200E6EE9" w:rsidR="0080384B" w:rsidRPr="0031221C" w:rsidRDefault="00615DB8" w:rsidP="00B9107D">
            <w:pPr>
              <w:spacing w:before="60" w:after="120"/>
              <w:jc w:val="both"/>
              <w:rPr>
                <w:szCs w:val="22"/>
                <w:rFonts w:ascii="Times New Roman" w:hAnsi="Times New Roman" w:cs="Times New Roman"/>
              </w:rPr>
            </w:pPr>
            <w:r>
              <w:rPr>
                <w:rFonts w:ascii="Times New Roman" w:hAnsi="Times New Roman"/>
              </w:rPr>
              <w:t xml:space="preserve">Τα ιδρύματα πρέπει να δημοσιοποιούν τις μεταβολές της οικονομικής αξίας των μετοχών και τις μεταβολές των καθαρών εσόδων από τόκους υπό μορφή σταθερής παράλληλης ανοδικής διαταραχής στην καμπύλη αποδόσεων.</w:t>
            </w:r>
            <w:r>
              <w:rPr>
                <w:rFonts w:ascii="Times New Roman" w:hAnsi="Times New Roman"/>
              </w:rPr>
              <w:t xml:space="preserve"> </w:t>
            </w:r>
          </w:p>
          <w:p w14:paraId="2AA6B7BB" w14:textId="14575B1E"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 </w:t>
            </w:r>
            <w:r>
              <w:rPr>
                <w:rFonts w:ascii="Times New Roman" w:hAnsi="Times New Roman"/>
              </w:rPr>
              <w:t xml:space="preserve">Έως ότου εφαρμοστούν τα κριτήρια των κατευθυντήριων γραμμών που ορίζονται στο άρθρο 84 παράγραφος 6 της οδηγίας 2013/36/ΕΕ και τα περαιτέρω στοιχεία που απαριθμούνται στο άρθρο 98 παράγραφος 5α της οδηγίας 2013/36/ΕΕ, οι παράμετροι που χρησιμοποιούνται για το σενάριο αυτό περιγράφονται στο σημείο i) του πίνακα EU IRRBBA.</w:t>
            </w:r>
          </w:p>
        </w:tc>
      </w:tr>
      <w:tr w:rsidR="00227FDC" w:rsidRPr="0031221C" w14:paraId="544FB1F8"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74EE41" w14:textId="424C34BA"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AE4F83F" w14:textId="3625939B"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Παράλληλη καθοδική</w:t>
            </w:r>
          </w:p>
          <w:p w14:paraId="1C16CAC1" w14:textId="764F4FC2" w:rsidR="0080384B" w:rsidRPr="0031221C" w:rsidRDefault="0084271D" w:rsidP="00B9107D">
            <w:pPr>
              <w:spacing w:before="60" w:after="120"/>
              <w:jc w:val="both"/>
              <w:rPr>
                <w:szCs w:val="22"/>
                <w:rFonts w:ascii="Times New Roman" w:hAnsi="Times New Roman" w:cs="Times New Roman"/>
              </w:rPr>
            </w:pPr>
            <w:r>
              <w:rPr>
                <w:rFonts w:ascii="Times New Roman" w:hAnsi="Times New Roman"/>
              </w:rPr>
              <w:t xml:space="preserve">Τα ιδρύματα πρέπει να δημοσιοποιούν τις μεταβολές της οικονομικής αξίας των μετοχών και τις μεταβολές των καθαρών εσόδων από τόκους υπό μορφή σταθερής παράλληλης καθοδικής διαταραχής στην καμπύλη αποδόσεων.</w:t>
            </w:r>
            <w:r>
              <w:rPr>
                <w:rFonts w:ascii="Times New Roman" w:hAnsi="Times New Roman"/>
              </w:rPr>
              <w:t xml:space="preserve"> </w:t>
            </w:r>
          </w:p>
          <w:p w14:paraId="3D14716A" w14:textId="5D1C74C8" w:rsidR="0084271D" w:rsidRPr="0031221C" w:rsidRDefault="00C24484" w:rsidP="00C24484">
            <w:pPr>
              <w:spacing w:before="60" w:after="120"/>
              <w:jc w:val="both"/>
              <w:rPr>
                <w:szCs w:val="22"/>
                <w:rFonts w:ascii="Times New Roman" w:hAnsi="Times New Roman" w:cs="Times New Roman"/>
              </w:rPr>
            </w:pPr>
            <w:r>
              <w:rPr>
                <w:rFonts w:ascii="Times New Roman" w:hAnsi="Times New Roman"/>
              </w:rPr>
              <w:t xml:space="preserve">Έως ότου εφαρμοστούν τα κριτήρια των κατευθυντήριων γραμμών που ορίζονται στο άρθρο 84 παράγραφος 6 της οδηγίας 2013/36/ΕΕ και τα περαιτέρω στοιχεία που απαριθμούνται στο άρθρο 98 παράγραφος 5α της οδηγίας 2013/36/ΕΕ, οι παράμετροι που χρησιμοποιούνται για το σενάριο αυτό περιγράφονται στο σημείο i) του πίνακα EU IRRBBA.</w:t>
            </w:r>
            <w:r>
              <w:rPr>
                <w:rFonts w:ascii="Times New Roman" w:hAnsi="Times New Roman"/>
              </w:rPr>
              <w:t xml:space="preserve"> </w:t>
            </w:r>
          </w:p>
        </w:tc>
      </w:tr>
      <w:tr w:rsidR="00227FDC" w:rsidRPr="0031221C" w14:paraId="39F33934"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06B555B" w14:textId="0BCBC17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0B64ADF" w14:textId="1E50F67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Αύξηση κλίσης</w:t>
            </w:r>
          </w:p>
          <w:p w14:paraId="1FAE89D5" w14:textId="27B90C73" w:rsidR="0080384B" w:rsidRPr="0031221C" w:rsidRDefault="003F5907" w:rsidP="00B9107D">
            <w:pPr>
              <w:spacing w:before="60" w:after="120"/>
              <w:jc w:val="both"/>
              <w:rPr>
                <w:szCs w:val="22"/>
                <w:rFonts w:ascii="Times New Roman" w:eastAsia="Times New Roman" w:hAnsi="Times New Roman" w:cs="Times New Roman"/>
              </w:rPr>
            </w:pPr>
            <w:r>
              <w:rPr>
                <w:rFonts w:ascii="Times New Roman" w:hAnsi="Times New Roman"/>
              </w:rPr>
              <w:t xml:space="preserve">Τα ιδρύματα πρέπει να δημοσιοποιούν τις μεταβολές της οικονομικής αξίας των μετοχών βάσει ενός σεναρίου καθοδικών βραχυπρόθεσμων και ανοδικών μακροπρόθεσμων επιτοκίων που θα αποτυπώνεται στην καμπύλη αποδόσεων.</w:t>
            </w:r>
            <w:r>
              <w:rPr>
                <w:rFonts w:ascii="Times New Roman" w:hAnsi="Times New Roman"/>
              </w:rPr>
              <w:t xml:space="preserve"> </w:t>
            </w:r>
          </w:p>
          <w:p w14:paraId="2B14043C" w14:textId="013A1877" w:rsidR="0084271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 </w:t>
            </w:r>
            <w:r>
              <w:rPr>
                <w:rFonts w:ascii="Times New Roman" w:hAnsi="Times New Roman"/>
              </w:rPr>
              <w:t xml:space="preserve">Έως ότου εφαρμοστούν τα κριτήρια των κατευθυντήριων γραμμών που ορίζονται στο άρθρο 84 παράγραφος 6 της οδηγίας 2013/36/ΕΕ και τα περαιτέρω στοιχεία που απαριθμούνται στο άρθρο 98 παράγραφος 5α της οδηγίας 2013/36/ΕΕ, οι παράμετροι που χρησιμοποιούνται για το σενάριο αυτό περιγράφονται στο σημείο i) του πίνακα EU IRRBBA.</w:t>
            </w:r>
            <w:r>
              <w:rPr>
                <w:rFonts w:ascii="Times New Roman" w:hAnsi="Times New Roman"/>
              </w:rPr>
              <w:t xml:space="preserve"> </w:t>
            </w:r>
          </w:p>
        </w:tc>
      </w:tr>
      <w:tr w:rsidR="00227FDC" w:rsidRPr="0031221C" w14:paraId="6BC8352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E65DB3" w14:textId="300BBE37"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A585C1" w14:textId="65969A28" w:rsidR="00227FDC" w:rsidRPr="0031221C" w:rsidRDefault="003E3A89" w:rsidP="00227FDC">
            <w:pPr>
              <w:spacing w:before="60" w:after="120"/>
              <w:jc w:val="both"/>
              <w:rPr>
                <w:rStyle w:val="InstructionsTabelleberschrift"/>
                <w:bCs w:val="0"/>
                <w:sz w:val="22"/>
                <w:szCs w:val="22"/>
                <w:u w:val="none"/>
                <w:rFonts w:ascii="Times New Roman" w:eastAsia="Times New Roman" w:hAnsi="Times New Roman"/>
              </w:rPr>
            </w:pPr>
            <w:r>
              <w:rPr>
                <w:rStyle w:val="InstructionsTabelleberschrift"/>
                <w:sz w:val="22"/>
                <w:u w:val="none"/>
                <w:rFonts w:ascii="Times New Roman" w:hAnsi="Times New Roman"/>
              </w:rPr>
              <w:t xml:space="preserve">Μείωση κλίσης</w:t>
            </w:r>
          </w:p>
          <w:p w14:paraId="3D4F63A7" w14:textId="2CC94F2B"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Τα ιδρύματα πρέπει να δημοσιοποιούν τις μεταβολές της οικονομικής αξίας των μετοχών βάσει ενός σεναρίου ανοδικών βραχυπρόθεσμων και καθοδικών μακροπρόθεσμων επιτοκίων που θα αποτυπώνεται στην καμπύλη αποδόσεων.</w:t>
            </w:r>
            <w:r>
              <w:rPr>
                <w:rFonts w:ascii="Times New Roman" w:hAnsi="Times New Roman"/>
              </w:rPr>
              <w:t xml:space="preserve"> </w:t>
            </w:r>
          </w:p>
          <w:p w14:paraId="68AA63EC" w14:textId="159AECB7" w:rsidR="003C7BCD" w:rsidRPr="0031221C" w:rsidRDefault="00C24484" w:rsidP="00C24484">
            <w:pPr>
              <w:spacing w:before="60" w:after="120"/>
              <w:jc w:val="both"/>
              <w:rPr>
                <w:szCs w:val="22"/>
                <w:rFonts w:ascii="Times New Roman" w:eastAsia="Times New Roman" w:hAnsi="Times New Roman" w:cs="Times New Roman"/>
              </w:rPr>
            </w:pPr>
            <w:r>
              <w:rPr>
                <w:rFonts w:ascii="Times New Roman" w:hAnsi="Times New Roman"/>
              </w:rPr>
              <w:t xml:space="preserve">Έως ότου εφαρμοστούν τα κριτήρια των κατευθυντήριων γραμμών που ορίζονται στο άρθρο 84 παράγραφος 6 της οδηγίας 2013/36/ΕΕ και τα περαιτέρω στοιχεία που απαριθμούνται στο άρθρο 98 παράγραφος 5α της οδηγίας 2013/36/ΕΕ, οι παράμετροι που χρησιμοποιούνται για το σενάριο αυτό περιγράφονται στο σημείο i) του πίνακα EU IRRBBA.</w:t>
            </w:r>
            <w:r>
              <w:rPr>
                <w:rFonts w:ascii="Times New Roman" w:hAnsi="Times New Roman"/>
              </w:rPr>
              <w:t xml:space="preserve"> </w:t>
            </w:r>
          </w:p>
        </w:tc>
      </w:tr>
      <w:tr w:rsidR="00227FDC" w:rsidRPr="0031221C" w14:paraId="5A47760B"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AAC9AB1" w14:textId="59E27251" w:rsidR="00227FDC" w:rsidRPr="0031221C" w:rsidRDefault="00F55DB0"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AB7840B" w14:textId="0C1AAD14" w:rsidR="00227FDC"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Ανοδικά βραχυπρόθεσμα επιτόκια</w:t>
            </w:r>
          </w:p>
          <w:p w14:paraId="68A86533" w14:textId="7377DB6E"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Τα ιδρύματα πρέπει να δημοσιοποιούν τις μεταβολές της οικονομικής αξίας των μετοχών βάσει ενός σεναρίου ανοδικών βραχυπρόθεσμων επιτοκίων που θα αποτυπώνεται στην καμπύλη αποδόσεων.</w:t>
            </w:r>
            <w:r>
              <w:rPr>
                <w:rFonts w:ascii="Times New Roman" w:hAnsi="Times New Roman"/>
              </w:rPr>
              <w:t xml:space="preserve"> </w:t>
            </w:r>
          </w:p>
          <w:p w14:paraId="6A69073C" w14:textId="59D58E63"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Έως ότου εφαρμοστούν τα κριτήρια των κατευθυντήριων γραμμών που ορίζονται στο άρθρο 84 παράγραφος 6 της οδηγίας 2013/36/ΕΕ και τα περαιτέρω στοιχεία που απαριθμούνται στο άρθρο 98 παράγραφος 5α της οδηγίας 2013/36/ΕΕ, οι παράμετροι που χρησιμοποιούνται για το σενάριο αυτό περιγράφονται στο σημείο i) του πίνακα EU IRRBBA.</w:t>
            </w:r>
            <w:r>
              <w:rPr>
                <w:rFonts w:ascii="Times New Roman" w:hAnsi="Times New Roman"/>
              </w:rPr>
              <w:t xml:space="preserve"> </w:t>
            </w:r>
          </w:p>
        </w:tc>
      </w:tr>
      <w:tr w:rsidR="00CE0D17" w:rsidRPr="0031221C" w14:paraId="54BF60AA" w14:textId="77777777" w:rsidTr="00227FDC">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DCDA67F" w14:textId="4CEC3E89" w:rsidR="00CE0D17" w:rsidRPr="0031221C" w:rsidRDefault="00CE0D17" w:rsidP="00227FDC">
            <w:pPr>
              <w:autoSpaceDE w:val="0"/>
              <w:autoSpaceDN w:val="0"/>
              <w:adjustRightInd w:val="0"/>
              <w:spacing w:before="60" w:after="120"/>
              <w:jc w:val="center"/>
              <w:rPr>
                <w:b/>
                <w:szCs w:val="22"/>
                <w:rFonts w:ascii="Times New Roman" w:hAnsi="Times New Roman" w:cs="Times New Roman"/>
              </w:rPr>
            </w:pPr>
            <w:r>
              <w:rPr>
                <w:b/>
                <w:rFonts w:ascii="Times New Roman" w:hAnsi="Times New Roman"/>
              </w:rPr>
              <w:t xml:space="preserve">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CC8A263" w14:textId="77777777" w:rsidR="00CE0D17" w:rsidRPr="0031221C" w:rsidRDefault="003E3A89" w:rsidP="0060489A">
            <w:pPr>
              <w:spacing w:before="60" w:after="120"/>
              <w:jc w:val="both"/>
              <w:rPr>
                <w:b/>
                <w:szCs w:val="22"/>
                <w:rFonts w:ascii="Times New Roman" w:eastAsia="Times New Roman" w:hAnsi="Times New Roman" w:cs="Times New Roman"/>
              </w:rPr>
            </w:pPr>
            <w:r>
              <w:rPr>
                <w:b/>
                <w:rFonts w:ascii="Times New Roman" w:hAnsi="Times New Roman"/>
              </w:rPr>
              <w:t xml:space="preserve">Καθοδικά βραχυπρόθεσμα επιτόκια</w:t>
            </w:r>
          </w:p>
          <w:p w14:paraId="52648BA1" w14:textId="70C444CA" w:rsidR="0080384B" w:rsidRPr="0031221C" w:rsidRDefault="003F5907" w:rsidP="003F5907">
            <w:pPr>
              <w:spacing w:before="60" w:after="120"/>
              <w:jc w:val="both"/>
              <w:rPr>
                <w:szCs w:val="22"/>
                <w:rFonts w:ascii="Times New Roman" w:eastAsia="Times New Roman" w:hAnsi="Times New Roman" w:cs="Times New Roman"/>
              </w:rPr>
            </w:pPr>
            <w:r>
              <w:rPr>
                <w:rFonts w:ascii="Times New Roman" w:hAnsi="Times New Roman"/>
              </w:rPr>
              <w:t xml:space="preserve">Τα ιδρύματα πρέπει να δημοσιοποιούν τις μεταβολές της οικονομικής αξίας των μετοχών βάσει ενός σεναρίου καθοδικών βραχυπρόθεσμων επιτοκίων που θα αποτυπώνεται στην καμπύλη αποδόσεων.</w:t>
            </w:r>
            <w:r>
              <w:rPr>
                <w:rFonts w:ascii="Times New Roman" w:hAnsi="Times New Roman"/>
              </w:rPr>
              <w:t xml:space="preserve"> </w:t>
            </w:r>
          </w:p>
          <w:p w14:paraId="45792CFB" w14:textId="3D985205" w:rsidR="003C7BCD" w:rsidRPr="0031221C" w:rsidRDefault="00C24484" w:rsidP="00C24484">
            <w:pPr>
              <w:spacing w:before="60" w:after="120"/>
              <w:jc w:val="both"/>
              <w:rPr>
                <w:b/>
                <w:szCs w:val="22"/>
                <w:rFonts w:ascii="Times New Roman" w:eastAsia="Times New Roman" w:hAnsi="Times New Roman" w:cs="Times New Roman"/>
              </w:rPr>
            </w:pPr>
            <w:r>
              <w:rPr>
                <w:rFonts w:ascii="Times New Roman" w:hAnsi="Times New Roman"/>
              </w:rPr>
              <w:t xml:space="preserve">Έως ότου εφαρμοστούν τα κριτήρια των κατευθυντήριων γραμμών που ορίζονται στο άρθρο 84 παράγραφος 6 της οδηγίας 2013/36/ΕΕ και τα περαιτέρω στοιχεία που απαριθμούνται στο άρθρο 98 παράγραφος 5α της οδηγίας 2013/36/ΕΕ, οι παράμετροι που χρησιμοποιούνται για το σενάριο αυτό περιγράφονται στο σημείο i) του πίνακα EU IRRBBA.</w:t>
            </w:r>
            <w:r>
              <w:rPr>
                <w:rFonts w:ascii="Times New Roman" w:hAnsi="Times New Roman"/>
              </w:rPr>
              <w:t xml:space="preserve"> </w:t>
            </w:r>
          </w:p>
        </w:tc>
      </w:tr>
    </w:tbl>
    <w:p w14:paraId="3452EC82" w14:textId="7F3D1507" w:rsidR="00FE2CB5" w:rsidRPr="0031221C" w:rsidRDefault="00FE2CB5" w:rsidP="00FE2CB5">
      <w:pPr>
        <w:jc w:val="both"/>
        <w:rPr>
          <w:rFonts w:ascii="Calibri" w:eastAsia="Times New Roman" w:hAnsi="Calibri" w:cs="Times New Roman"/>
          <w:color w:val="000000"/>
          <w:szCs w:val="22"/>
          <w:lang w:eastAsia="en-GB"/>
        </w:rPr>
      </w:pPr>
    </w:p>
    <w:p w14:paraId="7DD927F3" w14:textId="7DB8FF08" w:rsidR="00FE2CB5" w:rsidRPr="00482070" w:rsidRDefault="005B5611" w:rsidP="00A81E4E">
      <w:r>
        <w:t xml:space="preserve">»</w:t>
      </w:r>
    </w:p>
    <w:sectPr w:rsidR="00FE2CB5" w:rsidRPr="0048207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3957D" w16cex:dateUtc="2021-12-14T21:13:00Z"/>
  <w16cex:commentExtensible w16cex:durableId="2563964E" w16cex:dateUtc="2021-12-14T21:16:00Z"/>
  <w16cex:commentExtensible w16cex:durableId="25639664" w16cex:dateUtc="2021-12-14T21:17:00Z"/>
  <w16cex:commentExtensible w16cex:durableId="256396F7" w16cex:dateUtc="2021-12-14T21:19:00Z"/>
  <w16cex:commentExtensible w16cex:durableId="2563976E" w16cex:dateUtc="2021-12-14T21:21:00Z"/>
  <w16cex:commentExtensible w16cex:durableId="2563980B" w16cex:dateUtc="2021-12-14T21:24:00Z"/>
  <w16cex:commentExtensible w16cex:durableId="2564311E" w16cex:dateUtc="2021-12-15T08:17:00Z"/>
  <w16cex:commentExtensible w16cex:durableId="2563999B" w16cex:dateUtc="2021-12-14T21:30:00Z"/>
  <w16cex:commentExtensible w16cex:durableId="256399A9" w16cex:dateUtc="2021-12-14T21:31:00Z"/>
  <w16cex:commentExtensible w16cex:durableId="25639A19" w16cex:dateUtc="2021-12-14T21:32:00Z"/>
  <w16cex:commentExtensible w16cex:durableId="25639A63" w16cex:dateUtc="2021-12-14T21:34:00Z"/>
  <w16cex:commentExtensible w16cex:durableId="25639AC4" w16cex:dateUtc="2021-12-14T21:35:00Z"/>
  <w16cex:commentExtensible w16cex:durableId="25639B49" w16cex:dateUtc="2021-12-14T21:38:00Z"/>
  <w16cex:commentExtensible w16cex:durableId="25639B92" w16cex:dateUtc="2021-12-14T21:39:00Z"/>
  <w16cex:commentExtensible w16cex:durableId="25639C31" w16cex:dateUtc="2021-12-14T21:41:00Z"/>
  <w16cex:commentExtensible w16cex:durableId="25639C57" w16cex:dateUtc="2021-12-14T21:42:00Z"/>
  <w16cex:commentExtensible w16cex:durableId="256431B7" w16cex:dateUtc="2021-12-15T08:19:00Z"/>
  <w16cex:commentExtensible w16cex:durableId="25639D00" w16cex:dateUtc="2021-12-14T21:45:00Z"/>
  <w16cex:commentExtensible w16cex:durableId="25639D16" w16cex:dateUtc="2021-12-14T21:45:00Z"/>
  <w16cex:commentExtensible w16cex:durableId="25639D20" w16cex:dateUtc="2021-12-14T21:45:00Z"/>
  <w16cex:commentExtensible w16cex:durableId="25639D28" w16cex:dateUtc="2021-12-14T2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E20546" w16cid:durableId="25639565"/>
  <w16cid:commentId w16cid:paraId="550322A7" w16cid:durableId="25639566"/>
  <w16cid:commentId w16cid:paraId="6AEC2973" w16cid:durableId="25639567"/>
  <w16cid:commentId w16cid:paraId="77DB14AD" w16cid:durableId="2563957D"/>
  <w16cid:commentId w16cid:paraId="733C91F8" w16cid:durableId="25639568"/>
  <w16cid:commentId w16cid:paraId="3F5E91F2" w16cid:durableId="25639569"/>
  <w16cid:commentId w16cid:paraId="337FF161" w16cid:durableId="2563956A"/>
  <w16cid:commentId w16cid:paraId="7A01F064" w16cid:durableId="2563964E"/>
  <w16cid:commentId w16cid:paraId="6E8632C5" w16cid:durableId="2563956B"/>
  <w16cid:commentId w16cid:paraId="17BF3F7E" w16cid:durableId="25639664"/>
  <w16cid:commentId w16cid:paraId="09696C97" w16cid:durableId="2563956C"/>
  <w16cid:commentId w16cid:paraId="699146E7" w16cid:durableId="2563956D"/>
  <w16cid:commentId w16cid:paraId="4F8BD1C6" w16cid:durableId="256396F7"/>
  <w16cid:commentId w16cid:paraId="041347AD" w16cid:durableId="2563956E"/>
  <w16cid:commentId w16cid:paraId="440AB23A" w16cid:durableId="2563956F"/>
  <w16cid:commentId w16cid:paraId="3BF2C77B" w16cid:durableId="25639570"/>
  <w16cid:commentId w16cid:paraId="31C81043" w16cid:durableId="2563976E"/>
  <w16cid:commentId w16cid:paraId="51EF7DC4" w16cid:durableId="25639571"/>
  <w16cid:commentId w16cid:paraId="57BD693E" w16cid:durableId="2563980B"/>
  <w16cid:commentId w16cid:paraId="61369E07" w16cid:durableId="2564311E"/>
  <w16cid:commentId w16cid:paraId="5E476EB2" w16cid:durableId="25639572"/>
  <w16cid:commentId w16cid:paraId="5E20D633" w16cid:durableId="2563999B"/>
  <w16cid:commentId w16cid:paraId="6EED4264" w16cid:durableId="25639573"/>
  <w16cid:commentId w16cid:paraId="4D7BB019" w16cid:durableId="256399A9"/>
  <w16cid:commentId w16cid:paraId="490C0683" w16cid:durableId="25639574"/>
  <w16cid:commentId w16cid:paraId="7531E822" w16cid:durableId="25639A19"/>
  <w16cid:commentId w16cid:paraId="2C4CCC55" w16cid:durableId="25639575"/>
  <w16cid:commentId w16cid:paraId="1A445087" w16cid:durableId="25639A63"/>
  <w16cid:commentId w16cid:paraId="40CDDC02" w16cid:durableId="25639576"/>
  <w16cid:commentId w16cid:paraId="1702AF2B" w16cid:durableId="25639AC4"/>
  <w16cid:commentId w16cid:paraId="346D5188" w16cid:durableId="25639B49"/>
  <w16cid:commentId w16cid:paraId="330C005A" w16cid:durableId="25639B92"/>
  <w16cid:commentId w16cid:paraId="520D2CC0" w16cid:durableId="25639C31"/>
  <w16cid:commentId w16cid:paraId="278A9C73" w16cid:durableId="25639577"/>
  <w16cid:commentId w16cid:paraId="63424010" w16cid:durableId="25639C57"/>
  <w16cid:commentId w16cid:paraId="36CE4E9B" w16cid:durableId="256431B7"/>
  <w16cid:commentId w16cid:paraId="5090C07A" w16cid:durableId="25639D00"/>
  <w16cid:commentId w16cid:paraId="0D434E15" w16cid:durableId="25639D16"/>
  <w16cid:commentId w16cid:paraId="18CAFB82" w16cid:durableId="25639D20"/>
  <w16cid:commentId w16cid:paraId="33D5E744" w16cid:durableId="25639D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B82AC" w14:textId="77777777" w:rsidR="00B86ED4" w:rsidRDefault="00B86ED4" w:rsidP="003B5C57">
      <w:r>
        <w:separator/>
      </w:r>
    </w:p>
  </w:endnote>
  <w:endnote w:type="continuationSeparator" w:id="0">
    <w:p w14:paraId="76F692C0" w14:textId="77777777" w:rsidR="00B86ED4" w:rsidRDefault="00B86ED4" w:rsidP="003B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C445" w14:textId="77777777" w:rsidR="004B327C" w:rsidRDefault="004B3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5D18" w14:textId="77777777" w:rsidR="004B327C" w:rsidRDefault="004B32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B9CC" w14:textId="77777777" w:rsidR="004B327C" w:rsidRDefault="004B3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AD1B" w14:textId="77777777" w:rsidR="00B86ED4" w:rsidRDefault="00B86ED4" w:rsidP="003B5C57">
      <w:r>
        <w:separator/>
      </w:r>
    </w:p>
  </w:footnote>
  <w:footnote w:type="continuationSeparator" w:id="0">
    <w:p w14:paraId="14714B02" w14:textId="77777777" w:rsidR="00B86ED4" w:rsidRDefault="00B86ED4" w:rsidP="003B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BA4" w14:textId="77777777" w:rsidR="004B327C" w:rsidRDefault="004B3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3384" w14:textId="77777777" w:rsidR="004B327C" w:rsidRDefault="004B32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2324C" w14:textId="77777777" w:rsidR="004B327C" w:rsidRDefault="004B3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820"/>
    <w:multiLevelType w:val="hybridMultilevel"/>
    <w:tmpl w:val="9008071A"/>
    <w:lvl w:ilvl="0" w:tplc="328800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4667BC"/>
    <w:multiLevelType w:val="hybridMultilevel"/>
    <w:tmpl w:val="A320B384"/>
    <w:lvl w:ilvl="0" w:tplc="0809001B">
      <w:start w:val="1"/>
      <w:numFmt w:val="lowerRoman"/>
      <w:lvlText w:val="%1."/>
      <w:lvlJc w:val="righ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 w15:restartNumberingAfterBreak="0">
    <w:nsid w:val="2466072A"/>
    <w:multiLevelType w:val="multilevel"/>
    <w:tmpl w:val="3566011E"/>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507845AC"/>
    <w:multiLevelType w:val="hybridMultilevel"/>
    <w:tmpl w:val="98463E24"/>
    <w:lvl w:ilvl="0" w:tplc="6CE4CC1C">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9CD6352"/>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 w15:restartNumberingAfterBreak="0">
    <w:nsid w:val="60BC6196"/>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2D1428"/>
    <w:multiLevelType w:val="hybridMultilevel"/>
    <w:tmpl w:val="3566011E"/>
    <w:lvl w:ilvl="0" w:tplc="A9A8210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4767C0"/>
    <w:multiLevelType w:val="hybridMultilevel"/>
    <w:tmpl w:val="89E0F2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8"/>
  </w:num>
  <w:num w:numId="2">
    <w:abstractNumId w:val="3"/>
  </w:num>
  <w:num w:numId="3">
    <w:abstractNumId w:val="1"/>
  </w:num>
  <w:num w:numId="4">
    <w:abstractNumId w:val="0"/>
  </w:num>
  <w:num w:numId="5">
    <w:abstractNumId w:val="6"/>
  </w:num>
  <w:num w:numId="6">
    <w:abstractNumId w:val="2"/>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4744B"/>
    <w:rsid w:val="00005B93"/>
    <w:rsid w:val="00013240"/>
    <w:rsid w:val="00025422"/>
    <w:rsid w:val="000469EE"/>
    <w:rsid w:val="00047E00"/>
    <w:rsid w:val="00053035"/>
    <w:rsid w:val="00060307"/>
    <w:rsid w:val="0006327F"/>
    <w:rsid w:val="00063CE6"/>
    <w:rsid w:val="00065C44"/>
    <w:rsid w:val="00067516"/>
    <w:rsid w:val="000A10FC"/>
    <w:rsid w:val="000A53EF"/>
    <w:rsid w:val="000B212C"/>
    <w:rsid w:val="000B28B3"/>
    <w:rsid w:val="000D6C4D"/>
    <w:rsid w:val="000F5EAA"/>
    <w:rsid w:val="000F6E3B"/>
    <w:rsid w:val="000F720A"/>
    <w:rsid w:val="0010640D"/>
    <w:rsid w:val="00110370"/>
    <w:rsid w:val="00111970"/>
    <w:rsid w:val="001163B7"/>
    <w:rsid w:val="00125B00"/>
    <w:rsid w:val="00133E44"/>
    <w:rsid w:val="0013410F"/>
    <w:rsid w:val="00146A3F"/>
    <w:rsid w:val="00146DB4"/>
    <w:rsid w:val="0016128F"/>
    <w:rsid w:val="00166CAA"/>
    <w:rsid w:val="00166FFE"/>
    <w:rsid w:val="00167A62"/>
    <w:rsid w:val="0017255F"/>
    <w:rsid w:val="00177088"/>
    <w:rsid w:val="001810BE"/>
    <w:rsid w:val="00186FD4"/>
    <w:rsid w:val="00187547"/>
    <w:rsid w:val="0019262D"/>
    <w:rsid w:val="001A538C"/>
    <w:rsid w:val="001A6E70"/>
    <w:rsid w:val="001A7DE4"/>
    <w:rsid w:val="001D0BA8"/>
    <w:rsid w:val="001D3283"/>
    <w:rsid w:val="001E248D"/>
    <w:rsid w:val="001E68FA"/>
    <w:rsid w:val="001F11D4"/>
    <w:rsid w:val="001F2FE9"/>
    <w:rsid w:val="00226654"/>
    <w:rsid w:val="00227A69"/>
    <w:rsid w:val="00227FDC"/>
    <w:rsid w:val="0024072B"/>
    <w:rsid w:val="002711B6"/>
    <w:rsid w:val="00271375"/>
    <w:rsid w:val="00292CEC"/>
    <w:rsid w:val="002931F0"/>
    <w:rsid w:val="002B52BC"/>
    <w:rsid w:val="002B630E"/>
    <w:rsid w:val="002B6C39"/>
    <w:rsid w:val="002D655D"/>
    <w:rsid w:val="002E597B"/>
    <w:rsid w:val="002E7E2E"/>
    <w:rsid w:val="002F10D0"/>
    <w:rsid w:val="002F2E04"/>
    <w:rsid w:val="002F726C"/>
    <w:rsid w:val="00305C67"/>
    <w:rsid w:val="0031221C"/>
    <w:rsid w:val="00316B9A"/>
    <w:rsid w:val="003364BD"/>
    <w:rsid w:val="00367A62"/>
    <w:rsid w:val="0037080E"/>
    <w:rsid w:val="00371201"/>
    <w:rsid w:val="00371886"/>
    <w:rsid w:val="0038371B"/>
    <w:rsid w:val="003942C9"/>
    <w:rsid w:val="003A2001"/>
    <w:rsid w:val="003A5365"/>
    <w:rsid w:val="003B1160"/>
    <w:rsid w:val="003B4F8B"/>
    <w:rsid w:val="003B5C57"/>
    <w:rsid w:val="003C03B3"/>
    <w:rsid w:val="003C310D"/>
    <w:rsid w:val="003C78DE"/>
    <w:rsid w:val="003C7BCD"/>
    <w:rsid w:val="003D086C"/>
    <w:rsid w:val="003E1403"/>
    <w:rsid w:val="003E3A89"/>
    <w:rsid w:val="003F5907"/>
    <w:rsid w:val="004018B3"/>
    <w:rsid w:val="00416C73"/>
    <w:rsid w:val="0042024E"/>
    <w:rsid w:val="00426CEC"/>
    <w:rsid w:val="0043059C"/>
    <w:rsid w:val="0045248D"/>
    <w:rsid w:val="00453AC4"/>
    <w:rsid w:val="00465DF4"/>
    <w:rsid w:val="00470043"/>
    <w:rsid w:val="00482070"/>
    <w:rsid w:val="004858AF"/>
    <w:rsid w:val="00487F1C"/>
    <w:rsid w:val="0049568B"/>
    <w:rsid w:val="004979A6"/>
    <w:rsid w:val="004A12CC"/>
    <w:rsid w:val="004B0B2A"/>
    <w:rsid w:val="004B327C"/>
    <w:rsid w:val="004D27DD"/>
    <w:rsid w:val="004E2266"/>
    <w:rsid w:val="004E6BD5"/>
    <w:rsid w:val="004F5466"/>
    <w:rsid w:val="00503DC1"/>
    <w:rsid w:val="00504410"/>
    <w:rsid w:val="00512477"/>
    <w:rsid w:val="00520421"/>
    <w:rsid w:val="00523FE8"/>
    <w:rsid w:val="005470E3"/>
    <w:rsid w:val="0054744B"/>
    <w:rsid w:val="00550EA4"/>
    <w:rsid w:val="00565F5A"/>
    <w:rsid w:val="00573FD3"/>
    <w:rsid w:val="00580D58"/>
    <w:rsid w:val="00586B82"/>
    <w:rsid w:val="00593C4B"/>
    <w:rsid w:val="00595903"/>
    <w:rsid w:val="005A5573"/>
    <w:rsid w:val="005B367A"/>
    <w:rsid w:val="005B5611"/>
    <w:rsid w:val="005D48C1"/>
    <w:rsid w:val="005E2B3A"/>
    <w:rsid w:val="005F4729"/>
    <w:rsid w:val="005F58E6"/>
    <w:rsid w:val="006001A4"/>
    <w:rsid w:val="00604339"/>
    <w:rsid w:val="0060489A"/>
    <w:rsid w:val="00607494"/>
    <w:rsid w:val="00615DB8"/>
    <w:rsid w:val="00616CF0"/>
    <w:rsid w:val="0064406C"/>
    <w:rsid w:val="0064412E"/>
    <w:rsid w:val="006473E8"/>
    <w:rsid w:val="00653207"/>
    <w:rsid w:val="00681608"/>
    <w:rsid w:val="00697A36"/>
    <w:rsid w:val="006A78BA"/>
    <w:rsid w:val="006B3947"/>
    <w:rsid w:val="006C2CA1"/>
    <w:rsid w:val="006C6FD2"/>
    <w:rsid w:val="006D4BE6"/>
    <w:rsid w:val="006D6B49"/>
    <w:rsid w:val="006D6C52"/>
    <w:rsid w:val="006F391A"/>
    <w:rsid w:val="006F69ED"/>
    <w:rsid w:val="007012E2"/>
    <w:rsid w:val="00711138"/>
    <w:rsid w:val="00716636"/>
    <w:rsid w:val="00721ADE"/>
    <w:rsid w:val="007269B1"/>
    <w:rsid w:val="00745B25"/>
    <w:rsid w:val="007573CB"/>
    <w:rsid w:val="00763C4D"/>
    <w:rsid w:val="00765030"/>
    <w:rsid w:val="007700DF"/>
    <w:rsid w:val="00775FD9"/>
    <w:rsid w:val="0078309E"/>
    <w:rsid w:val="00793890"/>
    <w:rsid w:val="007A1366"/>
    <w:rsid w:val="007A4AA0"/>
    <w:rsid w:val="007A7AFA"/>
    <w:rsid w:val="007B3033"/>
    <w:rsid w:val="007C351F"/>
    <w:rsid w:val="007D1AE4"/>
    <w:rsid w:val="007F15BF"/>
    <w:rsid w:val="007F71C4"/>
    <w:rsid w:val="0080384B"/>
    <w:rsid w:val="00804CDC"/>
    <w:rsid w:val="008220B0"/>
    <w:rsid w:val="00834F07"/>
    <w:rsid w:val="00835D8A"/>
    <w:rsid w:val="0084271D"/>
    <w:rsid w:val="00842C3A"/>
    <w:rsid w:val="00843F8C"/>
    <w:rsid w:val="00844CC6"/>
    <w:rsid w:val="00862897"/>
    <w:rsid w:val="0086459A"/>
    <w:rsid w:val="0087249C"/>
    <w:rsid w:val="008766A5"/>
    <w:rsid w:val="00885EBE"/>
    <w:rsid w:val="0088622B"/>
    <w:rsid w:val="00886EB3"/>
    <w:rsid w:val="008A053C"/>
    <w:rsid w:val="008A5827"/>
    <w:rsid w:val="008B589A"/>
    <w:rsid w:val="008E005A"/>
    <w:rsid w:val="008F617B"/>
    <w:rsid w:val="00904C4D"/>
    <w:rsid w:val="00906CCA"/>
    <w:rsid w:val="00912FEC"/>
    <w:rsid w:val="009222ED"/>
    <w:rsid w:val="00925221"/>
    <w:rsid w:val="00926D41"/>
    <w:rsid w:val="00942E61"/>
    <w:rsid w:val="0094340A"/>
    <w:rsid w:val="0094354B"/>
    <w:rsid w:val="00947B6C"/>
    <w:rsid w:val="0095024C"/>
    <w:rsid w:val="00952741"/>
    <w:rsid w:val="009528FB"/>
    <w:rsid w:val="0095538A"/>
    <w:rsid w:val="0095708D"/>
    <w:rsid w:val="00976355"/>
    <w:rsid w:val="0098778C"/>
    <w:rsid w:val="009A3E6C"/>
    <w:rsid w:val="009A42C9"/>
    <w:rsid w:val="009C2377"/>
    <w:rsid w:val="009C3247"/>
    <w:rsid w:val="009D1BA6"/>
    <w:rsid w:val="009D7A7D"/>
    <w:rsid w:val="00A0381B"/>
    <w:rsid w:val="00A05663"/>
    <w:rsid w:val="00A1733E"/>
    <w:rsid w:val="00A2202B"/>
    <w:rsid w:val="00A22F00"/>
    <w:rsid w:val="00A56B74"/>
    <w:rsid w:val="00A64295"/>
    <w:rsid w:val="00A67645"/>
    <w:rsid w:val="00A77093"/>
    <w:rsid w:val="00A81E4E"/>
    <w:rsid w:val="00A8375D"/>
    <w:rsid w:val="00A930B2"/>
    <w:rsid w:val="00AB382F"/>
    <w:rsid w:val="00AC7CEB"/>
    <w:rsid w:val="00AC7DCE"/>
    <w:rsid w:val="00AD6D9C"/>
    <w:rsid w:val="00AE69B7"/>
    <w:rsid w:val="00AF252C"/>
    <w:rsid w:val="00AF3439"/>
    <w:rsid w:val="00B4159D"/>
    <w:rsid w:val="00B44524"/>
    <w:rsid w:val="00B54332"/>
    <w:rsid w:val="00B56EBF"/>
    <w:rsid w:val="00B650A9"/>
    <w:rsid w:val="00B66A3D"/>
    <w:rsid w:val="00B81100"/>
    <w:rsid w:val="00B82005"/>
    <w:rsid w:val="00B8650B"/>
    <w:rsid w:val="00B86ED4"/>
    <w:rsid w:val="00B9107D"/>
    <w:rsid w:val="00B923DC"/>
    <w:rsid w:val="00B94237"/>
    <w:rsid w:val="00BB39FB"/>
    <w:rsid w:val="00BB574D"/>
    <w:rsid w:val="00BC025C"/>
    <w:rsid w:val="00BF2E73"/>
    <w:rsid w:val="00C006B4"/>
    <w:rsid w:val="00C07A00"/>
    <w:rsid w:val="00C143B2"/>
    <w:rsid w:val="00C1556C"/>
    <w:rsid w:val="00C206DE"/>
    <w:rsid w:val="00C24484"/>
    <w:rsid w:val="00C307AB"/>
    <w:rsid w:val="00C41D59"/>
    <w:rsid w:val="00C42692"/>
    <w:rsid w:val="00C4502B"/>
    <w:rsid w:val="00C4547F"/>
    <w:rsid w:val="00C612FA"/>
    <w:rsid w:val="00C71181"/>
    <w:rsid w:val="00C76C94"/>
    <w:rsid w:val="00C77A9E"/>
    <w:rsid w:val="00CA2AD5"/>
    <w:rsid w:val="00CD3692"/>
    <w:rsid w:val="00CE0D17"/>
    <w:rsid w:val="00CF6849"/>
    <w:rsid w:val="00D14F4A"/>
    <w:rsid w:val="00D267B0"/>
    <w:rsid w:val="00D31F66"/>
    <w:rsid w:val="00D6257E"/>
    <w:rsid w:val="00D6294D"/>
    <w:rsid w:val="00D727B4"/>
    <w:rsid w:val="00D76DCA"/>
    <w:rsid w:val="00D7725E"/>
    <w:rsid w:val="00D97456"/>
    <w:rsid w:val="00DB6997"/>
    <w:rsid w:val="00DC1B4D"/>
    <w:rsid w:val="00DD20B0"/>
    <w:rsid w:val="00DF18F3"/>
    <w:rsid w:val="00DF58CB"/>
    <w:rsid w:val="00E0485C"/>
    <w:rsid w:val="00E05113"/>
    <w:rsid w:val="00E0540C"/>
    <w:rsid w:val="00E05823"/>
    <w:rsid w:val="00E22DED"/>
    <w:rsid w:val="00E251C6"/>
    <w:rsid w:val="00E4184D"/>
    <w:rsid w:val="00E47444"/>
    <w:rsid w:val="00E74FF6"/>
    <w:rsid w:val="00E825AF"/>
    <w:rsid w:val="00EA0ADF"/>
    <w:rsid w:val="00EA1CF8"/>
    <w:rsid w:val="00EA2452"/>
    <w:rsid w:val="00EA5AA0"/>
    <w:rsid w:val="00EA5C4B"/>
    <w:rsid w:val="00EC3E7F"/>
    <w:rsid w:val="00EE3ECC"/>
    <w:rsid w:val="00EF335F"/>
    <w:rsid w:val="00F01CEA"/>
    <w:rsid w:val="00F070E6"/>
    <w:rsid w:val="00F10FFC"/>
    <w:rsid w:val="00F24E72"/>
    <w:rsid w:val="00F441CD"/>
    <w:rsid w:val="00F470EA"/>
    <w:rsid w:val="00F55DB0"/>
    <w:rsid w:val="00F666E7"/>
    <w:rsid w:val="00F720A8"/>
    <w:rsid w:val="00F931AD"/>
    <w:rsid w:val="00FA7485"/>
    <w:rsid w:val="00FB03B8"/>
    <w:rsid w:val="00FB0584"/>
    <w:rsid w:val="00FC2089"/>
    <w:rsid w:val="00FC55A8"/>
    <w:rsid w:val="00FD20DB"/>
    <w:rsid w:val="00FD6A8F"/>
    <w:rsid w:val="00FD7503"/>
    <w:rsid w:val="00FE2CB5"/>
    <w:rsid w:val="00FF0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6743BF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4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Title"/>
    <w:basedOn w:val="Normal"/>
    <w:next w:val="Normal"/>
    <w:link w:val="TableTitleChar"/>
    <w:rsid w:val="0054744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54744B"/>
    <w:rPr>
      <w:rFonts w:ascii="Arial" w:eastAsia="MS Mincho" w:hAnsi="Arial" w:cs="Times New Roman"/>
      <w:b/>
      <w:noProof/>
      <w:szCs w:val="20"/>
    </w:rPr>
  </w:style>
  <w:style w:type="character" w:customStyle="1" w:styleId="InstructionsTabelleberschrift">
    <w:name w:val="Instructions Tabelle Überschrift"/>
    <w:qFormat/>
    <w:rsid w:val="00BB39FB"/>
    <w:rPr>
      <w:rFonts w:ascii="Verdana" w:hAnsi="Verdana" w:cs="Times New Roman"/>
      <w:b/>
      <w:bCs/>
      <w:sz w:val="20"/>
      <w:u w:val="single"/>
    </w:rPr>
  </w:style>
  <w:style w:type="character" w:customStyle="1" w:styleId="InstructionsTabelleText">
    <w:name w:val="Instructions Tabelle Text"/>
    <w:rsid w:val="00BB39FB"/>
    <w:rPr>
      <w:rFonts w:ascii="Verdana" w:hAnsi="Verdana" w:cs="Times New Roman"/>
      <w:sz w:val="20"/>
    </w:rPr>
  </w:style>
  <w:style w:type="paragraph" w:customStyle="1" w:styleId="InstructionsText2">
    <w:name w:val="Instructions Text 2"/>
    <w:basedOn w:val="Normal"/>
    <w:qFormat/>
    <w:rsid w:val="002B52BC"/>
    <w:pPr>
      <w:numPr>
        <w:numId w:val="2"/>
      </w:numPr>
      <w:spacing w:after="240"/>
      <w:jc w:val="both"/>
    </w:pPr>
    <w:rPr>
      <w:rFonts w:ascii="Times New Roman" w:eastAsia="Times New Roman" w:hAnsi="Times New Roman" w:cs="Times New Roman"/>
      <w:sz w:val="24"/>
      <w:lang w:eastAsia="de-DE"/>
    </w:rPr>
  </w:style>
  <w:style w:type="character" w:styleId="CommentReference">
    <w:name w:val="annotation reference"/>
    <w:basedOn w:val="DefaultParagraphFont"/>
    <w:uiPriority w:val="99"/>
    <w:semiHidden/>
    <w:unhideWhenUsed/>
    <w:rsid w:val="00E05823"/>
    <w:rPr>
      <w:sz w:val="16"/>
      <w:szCs w:val="16"/>
    </w:rPr>
  </w:style>
  <w:style w:type="paragraph" w:styleId="CommentText">
    <w:name w:val="annotation text"/>
    <w:basedOn w:val="Normal"/>
    <w:link w:val="CommentTextChar"/>
    <w:uiPriority w:val="99"/>
    <w:unhideWhenUsed/>
    <w:rsid w:val="00E05823"/>
    <w:rPr>
      <w:sz w:val="20"/>
      <w:szCs w:val="20"/>
    </w:rPr>
  </w:style>
  <w:style w:type="character" w:customStyle="1" w:styleId="CommentTextChar">
    <w:name w:val="Comment Text Char"/>
    <w:basedOn w:val="DefaultParagraphFont"/>
    <w:link w:val="CommentText"/>
    <w:uiPriority w:val="99"/>
    <w:rsid w:val="00E05823"/>
    <w:rPr>
      <w:rFonts w:eastAsiaTheme="minorEastAsia"/>
      <w:sz w:val="20"/>
      <w:szCs w:val="20"/>
      <w:lang w:val="el-GR"/>
    </w:rPr>
  </w:style>
  <w:style w:type="paragraph" w:styleId="CommentSubject">
    <w:name w:val="annotation subject"/>
    <w:basedOn w:val="CommentText"/>
    <w:next w:val="CommentText"/>
    <w:link w:val="CommentSubjectChar"/>
    <w:uiPriority w:val="99"/>
    <w:semiHidden/>
    <w:unhideWhenUsed/>
    <w:rsid w:val="00E05823"/>
    <w:rPr>
      <w:b/>
      <w:bCs/>
    </w:rPr>
  </w:style>
  <w:style w:type="character" w:customStyle="1" w:styleId="CommentSubjectChar">
    <w:name w:val="Comment Subject Char"/>
    <w:basedOn w:val="CommentTextChar"/>
    <w:link w:val="CommentSubject"/>
    <w:uiPriority w:val="99"/>
    <w:semiHidden/>
    <w:rsid w:val="00E05823"/>
    <w:rPr>
      <w:rFonts w:eastAsiaTheme="minorEastAsia"/>
      <w:b/>
      <w:bCs/>
      <w:sz w:val="20"/>
      <w:szCs w:val="20"/>
      <w:lang w:val="el-GR"/>
    </w:rPr>
  </w:style>
  <w:style w:type="paragraph" w:styleId="BalloonText">
    <w:name w:val="Balloon Text"/>
    <w:basedOn w:val="Normal"/>
    <w:link w:val="BalloonTextChar"/>
    <w:uiPriority w:val="99"/>
    <w:semiHidden/>
    <w:unhideWhenUsed/>
    <w:rsid w:val="00E058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823"/>
    <w:rPr>
      <w:rFonts w:ascii="Segoe UI" w:eastAsiaTheme="minorEastAsia" w:hAnsi="Segoe UI" w:cs="Segoe UI"/>
      <w:sz w:val="18"/>
      <w:szCs w:val="18"/>
      <w:lang w:val="el-GR"/>
    </w:rPr>
  </w:style>
  <w:style w:type="paragraph" w:styleId="ListParagraph">
    <w:name w:val="List Paragraph"/>
    <w:basedOn w:val="Normal"/>
    <w:uiPriority w:val="34"/>
    <w:qFormat/>
    <w:rsid w:val="00A81E4E"/>
    <w:pPr>
      <w:ind w:left="720"/>
      <w:contextualSpacing/>
    </w:pPr>
  </w:style>
  <w:style w:type="paragraph" w:customStyle="1" w:styleId="Annexetitre">
    <w:name w:val="Annexe titre"/>
    <w:basedOn w:val="Normal"/>
    <w:next w:val="Normal"/>
    <w:rsid w:val="006A78BA"/>
    <w:pPr>
      <w:spacing w:before="120" w:after="120"/>
      <w:jc w:val="center"/>
    </w:pPr>
    <w:rPr>
      <w:rFonts w:ascii="Times New Roman" w:eastAsia="Times New Roman" w:hAnsi="Times New Roman" w:cs="Times New Roman"/>
      <w:b/>
      <w:sz w:val="24"/>
      <w:u w:val="single"/>
    </w:rPr>
  </w:style>
  <w:style w:type="paragraph" w:customStyle="1" w:styleId="CM1">
    <w:name w:val="CM1"/>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customStyle="1" w:styleId="CM3">
    <w:name w:val="CM3"/>
    <w:basedOn w:val="Normal"/>
    <w:next w:val="Normal"/>
    <w:uiPriority w:val="99"/>
    <w:rsid w:val="00065C44"/>
    <w:pPr>
      <w:autoSpaceDE w:val="0"/>
      <w:autoSpaceDN w:val="0"/>
      <w:adjustRightInd w:val="0"/>
    </w:pPr>
    <w:rPr>
      <w:rFonts w:ascii="Times New Roman" w:eastAsiaTheme="minorHAnsi" w:hAnsi="Times New Roman" w:cs="Times New Roman"/>
      <w:sz w:val="24"/>
    </w:rPr>
  </w:style>
  <w:style w:type="paragraph" w:styleId="Revision">
    <w:name w:val="Revision"/>
    <w:hidden/>
    <w:uiPriority w:val="99"/>
    <w:semiHidden/>
    <w:rsid w:val="00F441CD"/>
    <w:pPr>
      <w:spacing w:after="0" w:line="240" w:lineRule="auto"/>
    </w:pPr>
    <w:rPr>
      <w:rFonts w:eastAsiaTheme="minorEastAsia"/>
      <w:szCs w:val="24"/>
    </w:rPr>
  </w:style>
  <w:style w:type="character" w:styleId="Hyperlink">
    <w:name w:val="Hyperlink"/>
    <w:basedOn w:val="DefaultParagraphFont"/>
    <w:uiPriority w:val="99"/>
    <w:semiHidden/>
    <w:unhideWhenUsed/>
    <w:rsid w:val="00616CF0"/>
    <w:rPr>
      <w:color w:val="0000FF"/>
      <w:u w:val="single"/>
    </w:rPr>
  </w:style>
  <w:style w:type="paragraph" w:styleId="Header">
    <w:name w:val="header"/>
    <w:basedOn w:val="Normal"/>
    <w:link w:val="HeaderChar"/>
    <w:uiPriority w:val="99"/>
    <w:unhideWhenUsed/>
    <w:rsid w:val="004B327C"/>
    <w:pPr>
      <w:tabs>
        <w:tab w:val="center" w:pos="4680"/>
        <w:tab w:val="right" w:pos="9360"/>
      </w:tabs>
    </w:pPr>
  </w:style>
  <w:style w:type="character" w:customStyle="1" w:styleId="HeaderChar">
    <w:name w:val="Header Char"/>
    <w:basedOn w:val="DefaultParagraphFont"/>
    <w:link w:val="Header"/>
    <w:uiPriority w:val="99"/>
    <w:rsid w:val="004B327C"/>
    <w:rPr>
      <w:rFonts w:eastAsiaTheme="minorEastAsia"/>
      <w:szCs w:val="24"/>
    </w:rPr>
  </w:style>
  <w:style w:type="paragraph" w:styleId="Footer">
    <w:name w:val="footer"/>
    <w:basedOn w:val="Normal"/>
    <w:link w:val="FooterChar"/>
    <w:uiPriority w:val="99"/>
    <w:unhideWhenUsed/>
    <w:rsid w:val="004B327C"/>
    <w:pPr>
      <w:tabs>
        <w:tab w:val="center" w:pos="4680"/>
        <w:tab w:val="right" w:pos="9360"/>
      </w:tabs>
    </w:pPr>
  </w:style>
  <w:style w:type="character" w:customStyle="1" w:styleId="FooterChar">
    <w:name w:val="Footer Char"/>
    <w:basedOn w:val="DefaultParagraphFont"/>
    <w:link w:val="Footer"/>
    <w:uiPriority w:val="99"/>
    <w:rsid w:val="004B327C"/>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4359">
      <w:bodyDiv w:val="1"/>
      <w:marLeft w:val="0"/>
      <w:marRight w:val="0"/>
      <w:marTop w:val="0"/>
      <w:marBottom w:val="0"/>
      <w:divBdr>
        <w:top w:val="none" w:sz="0" w:space="0" w:color="auto"/>
        <w:left w:val="none" w:sz="0" w:space="0" w:color="auto"/>
        <w:bottom w:val="none" w:sz="0" w:space="0" w:color="auto"/>
        <w:right w:val="none" w:sz="0" w:space="0" w:color="auto"/>
      </w:divBdr>
    </w:div>
    <w:div w:id="188043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A7153-8381-41E6-B52D-20FA0B8D4F22}">
  <ds:schemaRefs>
    <ds:schemaRef ds:uri="http://schemas.openxmlformats.org/officeDocument/2006/bibliography"/>
  </ds:schemaRefs>
</ds:datastoreItem>
</file>

<file path=customXml/itemProps2.xml><?xml version="1.0" encoding="utf-8"?>
<ds:datastoreItem xmlns:ds="http://schemas.openxmlformats.org/officeDocument/2006/customXml" ds:itemID="{343AC728-B129-4177-A1DE-8B7B0DF92987}"/>
</file>

<file path=customXml/itemProps3.xml><?xml version="1.0" encoding="utf-8"?>
<ds:datastoreItem xmlns:ds="http://schemas.openxmlformats.org/officeDocument/2006/customXml" ds:itemID="{C9D00EE8-9B40-4BE3-A8BE-5AB34B110448}"/>
</file>

<file path=customXml/itemProps4.xml><?xml version="1.0" encoding="utf-8"?>
<ds:datastoreItem xmlns:ds="http://schemas.openxmlformats.org/officeDocument/2006/customXml" ds:itemID="{82970712-2758-4E74-BE3B-C0A6A327A3E5}"/>
</file>

<file path=docProps/app.xml><?xml version="1.0" encoding="utf-8"?>
<Properties xmlns="http://schemas.openxmlformats.org/officeDocument/2006/extended-properties" xmlns:vt="http://schemas.openxmlformats.org/officeDocument/2006/docPropsVTypes">
  <Template>Normal</Template>
  <TotalTime>0</TotalTime>
  <Pages>5</Pages>
  <Words>1912</Words>
  <Characters>10748</Characters>
  <Application>Microsoft Office Word</Application>
  <DocSecurity>0</DocSecurity>
  <Lines>233</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2022-01-27T09:43:00Z</dcterms:created>
  <dcterms:modified xsi:type="dcterms:W3CDTF">2022-01-27T09:44:00Z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